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第二章</w:t>
      </w:r>
      <w:r>
        <w:rPr>
          <w:rFonts w:hint="eastAsia" w:ascii="微软雅黑" w:hAnsi="微软雅黑" w:eastAsia="微软雅黑" w:cs="微软雅黑"/>
          <w:b/>
          <w:bCs/>
          <w:color w:val="000000"/>
          <w:sz w:val="18"/>
          <w:szCs w:val="18"/>
        </w:rPr>
        <w:t xml:space="preserve"> 电气安全技术</w:t>
      </w:r>
    </w:p>
    <w:p>
      <w:pP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大纲要求</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运用电气安全相关技术和标准，辨识和分析作业场所存在的电气安全隐患，解决防触电、防静电、防雷击和电气防火防爆等电气安全技术问题。</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w:t>
      </w:r>
      <w:r>
        <w:rPr>
          <w:rFonts w:hint="eastAsia" w:ascii="微软雅黑" w:hAnsi="微软雅黑" w:eastAsia="微软雅黑" w:cs="微软雅黑"/>
          <w:color w:val="000000"/>
          <w:sz w:val="18"/>
          <w:szCs w:val="18"/>
          <w:lang w:val="en-US" w:eastAsia="zh-CN"/>
        </w:rPr>
        <w:t>汇</w:t>
      </w:r>
      <w:r>
        <w:rPr>
          <w:rFonts w:hint="eastAsia" w:ascii="微软雅黑" w:hAnsi="微软雅黑" w:eastAsia="微软雅黑" w:cs="微软雅黑"/>
          <w:color w:val="000000"/>
          <w:sz w:val="18"/>
          <w:szCs w:val="18"/>
        </w:rPr>
        <w:t>总与分值解析</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drawing>
          <wp:inline distT="0" distB="0" distL="0" distR="0">
            <wp:extent cx="5274310" cy="3150235"/>
            <wp:effectExtent l="19050" t="0" r="2540" b="0"/>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4"/>
                    <a:stretch>
                      <a:fillRect/>
                    </a:stretch>
                  </pic:blipFill>
                  <pic:spPr>
                    <a:xfrm>
                      <a:off x="0" y="0"/>
                      <a:ext cx="5274310" cy="3150235"/>
                    </a:xfrm>
                    <a:prstGeom prst="rect">
                      <a:avLst/>
                    </a:prstGeom>
                  </pic:spPr>
                </pic:pic>
              </a:graphicData>
            </a:graphic>
          </wp:inline>
        </w:drawing>
      </w:r>
    </w:p>
    <w:p>
      <w:pP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考点精编</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考点一</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触电(表2—1)</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2—1触电</w:t>
      </w:r>
    </w:p>
    <w:tbl>
      <w:tblPr>
        <w:tblStyle w:val="4"/>
        <w:tblW w:w="8424" w:type="dxa"/>
        <w:tblInd w:w="15" w:type="dxa"/>
        <w:tblLayout w:type="fixed"/>
        <w:tblCellMar>
          <w:top w:w="0" w:type="dxa"/>
          <w:left w:w="0" w:type="dxa"/>
          <w:bottom w:w="0" w:type="dxa"/>
          <w:right w:w="0" w:type="dxa"/>
        </w:tblCellMar>
      </w:tblPr>
      <w:tblGrid>
        <w:gridCol w:w="465"/>
        <w:gridCol w:w="1114"/>
        <w:gridCol w:w="9"/>
        <w:gridCol w:w="6831"/>
        <w:gridCol w:w="5"/>
      </w:tblGrid>
      <w:tr>
        <w:tblPrEx>
          <w:tblLayout w:type="fixed"/>
          <w:tblCellMar>
            <w:top w:w="0" w:type="dxa"/>
            <w:left w:w="0" w:type="dxa"/>
            <w:bottom w:w="0" w:type="dxa"/>
            <w:right w:w="0" w:type="dxa"/>
          </w:tblCellMar>
        </w:tblPrEx>
        <w:trPr>
          <w:gridAfter w:val="1"/>
          <w:wAfter w:w="5" w:type="dxa"/>
          <w:trHeight w:val="297" w:hRule="atLeast"/>
        </w:trPr>
        <w:tc>
          <w:tcPr>
            <w:tcW w:w="1588"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5" w:type="dxa"/>
          <w:trHeight w:val="638" w:hRule="atLeast"/>
        </w:trPr>
        <w:tc>
          <w:tcPr>
            <w:tcW w:w="465"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电击</w:t>
            </w:r>
          </w:p>
          <w:p>
            <w:pPr>
              <w:autoSpaceDE w:val="0"/>
              <w:autoSpaceDN w:val="0"/>
              <w:rPr>
                <w:rFonts w:hint="eastAsia" w:ascii="微软雅黑" w:hAnsi="微软雅黑" w:eastAsia="微软雅黑" w:cs="微软雅黑"/>
                <w:color w:val="000000"/>
                <w:kern w:val="0"/>
                <w:sz w:val="18"/>
                <w:szCs w:val="18"/>
              </w:rPr>
            </w:pPr>
          </w:p>
        </w:tc>
        <w:tc>
          <w:tcPr>
            <w:tcW w:w="1123" w:type="dxa"/>
            <w:gridSpan w:val="2"/>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电击的概念</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电击是电流通过人体，刺激机体组织，使肌体产生针刺感、压迫感、打击感、痉挛疼痛、血</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压异常、昏迷、心律不齐、心室颤动等造成伤害的形式</w:t>
            </w:r>
          </w:p>
        </w:tc>
      </w:tr>
      <w:tr>
        <w:tblPrEx>
          <w:tblLayout w:type="fixed"/>
          <w:tblCellMar>
            <w:top w:w="0" w:type="dxa"/>
            <w:left w:w="0" w:type="dxa"/>
            <w:bottom w:w="0" w:type="dxa"/>
            <w:right w:w="0" w:type="dxa"/>
          </w:tblCellMar>
        </w:tblPrEx>
        <w:trPr>
          <w:trHeight w:val="312" w:hRule="atLeast"/>
        </w:trPr>
        <w:tc>
          <w:tcPr>
            <w:tcW w:w="1579"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45" w:type="dxa"/>
            <w:gridSpan w:val="3"/>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2059" w:hRule="atLeast"/>
        </w:trPr>
        <w:tc>
          <w:tcPr>
            <w:tcW w:w="46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电流效应的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影响因素</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5" w:type="dxa"/>
            <w:gridSpan w:val="3"/>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电流对人体的伤害程度是与通过人体电流的大小、种类、持续时间、通过途径及人体状况等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多种因素有关。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电流值包括：感知电流、摆脱电流、室颤电流。其中，室颤电流指引起心室发生心室纤维性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颤动的最小电流。当电流持续时间超过心脏周期时，室颤电流仅为</w:t>
            </w:r>
            <w:r>
              <w:rPr>
                <w:rFonts w:hint="eastAsia" w:ascii="微软雅黑" w:hAnsi="微软雅黑" w:eastAsia="微软雅黑" w:cs="微软雅黑"/>
                <w:color w:val="000000"/>
                <w:kern w:val="0"/>
                <w:sz w:val="18"/>
                <w:szCs w:val="18"/>
              </w:rPr>
              <w:t>50mA</w:t>
            </w:r>
            <w:r>
              <w:rPr>
                <w:rFonts w:hint="eastAsia" w:ascii="微软雅黑" w:hAnsi="微软雅黑" w:eastAsia="微软雅黑" w:cs="微软雅黑"/>
                <w:color w:val="000000"/>
                <w:kern w:val="0"/>
                <w:sz w:val="18"/>
                <w:szCs w:val="18"/>
              </w:rPr>
              <w:t>左右；当持续时间短</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于心脏周期时．室颤电流为数百</w:t>
            </w:r>
            <w:r>
              <w:rPr>
                <w:rFonts w:hint="eastAsia" w:ascii="微软雅黑" w:hAnsi="微软雅黑" w:eastAsia="微软雅黑" w:cs="微软雅黑"/>
                <w:color w:val="000000"/>
                <w:kern w:val="0"/>
                <w:sz w:val="18"/>
                <w:szCs w:val="18"/>
              </w:rPr>
              <w:t>mA</w:t>
            </w:r>
            <w:r>
              <w:rPr>
                <w:rFonts w:hint="eastAsia" w:ascii="微软雅黑" w:hAnsi="微软雅黑" w:eastAsia="微软雅黑" w:cs="微软雅黑"/>
                <w:color w:val="000000"/>
                <w:kern w:val="0"/>
                <w:sz w:val="18"/>
                <w:szCs w:val="18"/>
              </w:rPr>
              <w:t>。当电流持续时间小于</w:t>
            </w:r>
            <w:r>
              <w:rPr>
                <w:rFonts w:hint="eastAsia" w:ascii="微软雅黑" w:hAnsi="微软雅黑" w:eastAsia="微软雅黑" w:cs="微软雅黑"/>
                <w:color w:val="000000"/>
                <w:kern w:val="0"/>
                <w:sz w:val="18"/>
                <w:szCs w:val="18"/>
              </w:rPr>
              <w:t>0.1s</w:t>
            </w:r>
            <w:r>
              <w:rPr>
                <w:rFonts w:hint="eastAsia" w:ascii="微软雅黑" w:hAnsi="微软雅黑" w:eastAsia="微软雅黑" w:cs="微软雅黑"/>
                <w:color w:val="000000"/>
                <w:kern w:val="0"/>
                <w:sz w:val="18"/>
                <w:szCs w:val="18"/>
              </w:rPr>
              <w:t>时，只有电击发生在心室易损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期，</w:t>
            </w:r>
            <w:r>
              <w:rPr>
                <w:rFonts w:hint="eastAsia" w:ascii="微软雅黑" w:hAnsi="微软雅黑" w:eastAsia="微软雅黑" w:cs="微软雅黑"/>
                <w:color w:val="000000"/>
                <w:kern w:val="0"/>
                <w:sz w:val="18"/>
                <w:szCs w:val="18"/>
              </w:rPr>
              <w:t>500mA</w:t>
            </w:r>
            <w:r>
              <w:rPr>
                <w:rFonts w:hint="eastAsia" w:ascii="微软雅黑" w:hAnsi="微软雅黑" w:eastAsia="微软雅黑" w:cs="微软雅黑"/>
                <w:color w:val="000000"/>
                <w:kern w:val="0"/>
                <w:sz w:val="18"/>
                <w:szCs w:val="18"/>
              </w:rPr>
              <w:t>以上乃至数</w:t>
            </w:r>
            <w:r>
              <w:rPr>
                <w:rFonts w:hint="eastAsia" w:ascii="微软雅黑" w:hAnsi="微软雅黑" w:eastAsia="微软雅黑" w:cs="微软雅黑"/>
                <w:color w:val="000000"/>
                <w:kern w:val="0"/>
                <w:sz w:val="18"/>
                <w:szCs w:val="18"/>
              </w:rPr>
              <w:t>A</w:t>
            </w:r>
            <w:r>
              <w:rPr>
                <w:rFonts w:hint="eastAsia" w:ascii="微软雅黑" w:hAnsi="微软雅黑" w:eastAsia="微软雅黑" w:cs="微软雅黑"/>
                <w:color w:val="000000"/>
                <w:kern w:val="0"/>
                <w:sz w:val="18"/>
                <w:szCs w:val="18"/>
              </w:rPr>
              <w:t>的电流才能够引起心室颤动。前述电流均指流过人体的电流，而当</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电流直接流过心脏时，数十微安的电流即可导致心室颤动发生</w:t>
            </w:r>
          </w:p>
        </w:tc>
      </w:tr>
      <w:tr>
        <w:tblPrEx>
          <w:tblLayout w:type="fixed"/>
          <w:tblCellMar>
            <w:top w:w="0" w:type="dxa"/>
            <w:left w:w="0" w:type="dxa"/>
            <w:bottom w:w="0" w:type="dxa"/>
            <w:right w:w="0" w:type="dxa"/>
          </w:tblCellMar>
        </w:tblPrEx>
        <w:trPr>
          <w:trHeight w:val="2323" w:hRule="atLeast"/>
        </w:trPr>
        <w:tc>
          <w:tcPr>
            <w:tcW w:w="465"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电击</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电击类型</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5" w:type="dxa"/>
            <w:gridSpan w:val="3"/>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根据电击时所触及的带电体是否为正常带电状态，电击分为直接接触电击和间接接触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直接接触电击指在电气设备或线路正常运行条件下，人体直接触及了设备或线路的带电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部分所形成的电击。</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间接接触电击指在设备或线路故障状态下，原本正常情况下不带电的设备外露可导电部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分或设备以外的可导电部分变成了带电状态，人体与上述故障状态下带电的可导电部分触及而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形成的电击。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按照人体触及带电体的方式，电击可分为单相电击、两相电击和跨步电压电击三种</w:t>
            </w:r>
          </w:p>
        </w:tc>
      </w:tr>
      <w:tr>
        <w:tblPrEx>
          <w:tblLayout w:type="fixed"/>
          <w:tblCellMar>
            <w:top w:w="0" w:type="dxa"/>
            <w:left w:w="0" w:type="dxa"/>
            <w:bottom w:w="0" w:type="dxa"/>
            <w:right w:w="0" w:type="dxa"/>
          </w:tblCellMar>
        </w:tblPrEx>
        <w:trPr>
          <w:trHeight w:val="2241" w:hRule="atLeast"/>
        </w:trPr>
        <w:tc>
          <w:tcPr>
            <w:tcW w:w="1579"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电伤</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5" w:type="dxa"/>
            <w:gridSpan w:val="3"/>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电伤包括电烧伤、电烙印、皮肤金属化、机械损伤、电光性眼炎等多种伤害。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电烧伤。电烧伤是最为常见的电伤，大部分触电事故都含有电烧伤成分。电烧伤可分为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电流灼伤和电弧烧伤</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指由弧光放电造成的烧伤，是最严重的电伤。电弧烧伤既可以发生在高</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压系统，也可以发生在低压系统</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电烙印。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皮肤金属化。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机械损伤。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电光性眼炎</w:t>
            </w:r>
          </w:p>
        </w:tc>
      </w:tr>
    </w:tbl>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考点二</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电气火灾和爆炸(表2—2)</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2—2电气火灾和爆炸</w:t>
      </w:r>
    </w:p>
    <w:tbl>
      <w:tblPr>
        <w:tblStyle w:val="4"/>
        <w:tblW w:w="8419" w:type="dxa"/>
        <w:tblInd w:w="15" w:type="dxa"/>
        <w:tblLayout w:type="fixed"/>
        <w:tblCellMar>
          <w:top w:w="0" w:type="dxa"/>
          <w:left w:w="0" w:type="dxa"/>
          <w:bottom w:w="0" w:type="dxa"/>
          <w:right w:w="0" w:type="dxa"/>
        </w:tblCellMar>
      </w:tblPr>
      <w:tblGrid>
        <w:gridCol w:w="465"/>
        <w:gridCol w:w="403"/>
        <w:gridCol w:w="720"/>
        <w:gridCol w:w="6831"/>
      </w:tblGrid>
      <w:tr>
        <w:tblPrEx>
          <w:tblLayout w:type="fixed"/>
          <w:tblCellMar>
            <w:top w:w="0" w:type="dxa"/>
            <w:left w:w="0" w:type="dxa"/>
            <w:bottom w:w="0" w:type="dxa"/>
            <w:right w:w="0" w:type="dxa"/>
          </w:tblCellMar>
        </w:tblPrEx>
        <w:trPr>
          <w:trHeight w:val="297" w:hRule="atLeast"/>
        </w:trPr>
        <w:tc>
          <w:tcPr>
            <w:tcW w:w="1588"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4473" w:hRule="atLeast"/>
        </w:trPr>
        <w:tc>
          <w:tcPr>
            <w:tcW w:w="465" w:type="dxa"/>
            <w:vMerge w:val="restart"/>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气</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燃</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源</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23"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危险温度</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形成危险温度的典型情况包括：</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短路。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过载。过载的原因主要有如下几种情况：电气线路或设备设计选型不合理，或没有考虑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足够的裕量，以致在正常使用情况下出现过热；电气设备或线路使用不合理，负载超过额定值</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或连续使用时间过长，超过线路或设备的设计能力，由此造成过热；设备故障运行造成设备和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线路过负载，如三相电动机单相运行或三相变压器不对称运行均能造成过负载；电气回路谐波</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能使线路电流增大而过载。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漏电。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接触不良。电气线路或电气装置中的电路连接部位是系统中的薄弱环节，是产生危险温</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度的主要部位之一。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铁心过热。</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散热不良。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机械故障。由交流异步电动机拖动的设备，如果转动部分被卡死或轴承损坏，造成堵转</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或负载转矩过大，都会因电流显著增大而导致电动机过热。</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(8)</w:t>
            </w:r>
            <w:r>
              <w:rPr>
                <w:rFonts w:hint="eastAsia" w:ascii="微软雅黑" w:hAnsi="微软雅黑" w:eastAsia="微软雅黑" w:cs="微软雅黑"/>
                <w:color w:val="000000"/>
                <w:kern w:val="0"/>
                <w:sz w:val="18"/>
                <w:szCs w:val="18"/>
              </w:rPr>
              <w:t>电压异常。相对于额定值，电压过高和过低均属电压异常。电压过高时，除使铁心发热</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增加外，对于恒阻抗设备，还会使电流增大而发热。</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(9)</w:t>
            </w:r>
            <w:r>
              <w:rPr>
                <w:rFonts w:hint="eastAsia" w:ascii="微软雅黑" w:hAnsi="微软雅黑" w:eastAsia="微软雅黑" w:cs="微软雅黑"/>
                <w:color w:val="000000"/>
                <w:kern w:val="0"/>
                <w:sz w:val="18"/>
                <w:szCs w:val="18"/>
              </w:rPr>
              <w:t>电热器具和照明器具。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电磁辐射能量</w:t>
            </w:r>
          </w:p>
        </w:tc>
      </w:tr>
      <w:tr>
        <w:tblPrEx>
          <w:tblLayout w:type="fixed"/>
          <w:tblCellMar>
            <w:top w:w="0" w:type="dxa"/>
            <w:left w:w="0" w:type="dxa"/>
            <w:bottom w:w="0" w:type="dxa"/>
            <w:right w:w="0" w:type="dxa"/>
          </w:tblCellMar>
        </w:tblPrEx>
        <w:trPr>
          <w:trHeight w:val="1281" w:hRule="atLeast"/>
        </w:trPr>
        <w:tc>
          <w:tcPr>
            <w:tcW w:w="465"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403" w:type="dxa"/>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火</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花</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和</w:t>
            </w:r>
          </w:p>
        </w:tc>
        <w:tc>
          <w:tcPr>
            <w:tcW w:w="72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工作电火</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花及电弧</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指电气设备正常工作或正常操作过程中所产生的电火花。刀开关、断路器、接触器、控制器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接通和断开线路时会产生电火花；插销拔出或插入时的火花；直流电动机的电刷与换向器的滑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动接触处、绕线式异步电动机的电刷与滑环的滑动接触处也会产生电火花等。切断感性电路</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时，断口处火花能量较大，危险性也较大。当该火花能量超过周围爆炸性混合物的最小引燃能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量时，即可能引起爆炸</w:t>
            </w:r>
          </w:p>
        </w:tc>
      </w:tr>
      <w:tr>
        <w:tblPrEx>
          <w:tblLayout w:type="fixed"/>
          <w:tblCellMar>
            <w:top w:w="0" w:type="dxa"/>
            <w:left w:w="0" w:type="dxa"/>
            <w:bottom w:w="0" w:type="dxa"/>
            <w:right w:w="0" w:type="dxa"/>
          </w:tblCellMar>
        </w:tblPrEx>
        <w:trPr>
          <w:trHeight w:val="638" w:hRule="atLeast"/>
        </w:trPr>
        <w:tc>
          <w:tcPr>
            <w:tcW w:w="465" w:type="dxa"/>
            <w:vMerge w:val="continue"/>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403" w:type="dxa"/>
            <w:tcBorders>
              <w:top w:val="nil"/>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弧</w:t>
            </w:r>
          </w:p>
          <w:p>
            <w:pPr>
              <w:autoSpaceDE w:val="0"/>
              <w:autoSpaceDN w:val="0"/>
              <w:rPr>
                <w:rFonts w:hint="eastAsia" w:ascii="微软雅黑" w:hAnsi="微软雅黑" w:eastAsia="微软雅黑" w:cs="微软雅黑"/>
                <w:color w:val="000000"/>
                <w:kern w:val="0"/>
                <w:sz w:val="18"/>
                <w:szCs w:val="18"/>
              </w:rPr>
            </w:pPr>
          </w:p>
        </w:tc>
        <w:tc>
          <w:tcPr>
            <w:tcW w:w="72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事故电火</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花及电弧</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包括线路或设备发生故障时出现的火花</w:t>
            </w:r>
          </w:p>
          <w:p>
            <w:pPr>
              <w:autoSpaceDE w:val="0"/>
              <w:autoSpaceDN w:val="0"/>
              <w:rPr>
                <w:rFonts w:hint="eastAsia" w:ascii="微软雅黑" w:hAnsi="微软雅黑" w:eastAsia="微软雅黑" w:cs="微软雅黑"/>
                <w:color w:val="000000"/>
                <w:kern w:val="0"/>
                <w:sz w:val="18"/>
                <w:szCs w:val="18"/>
              </w:rPr>
            </w:pPr>
          </w:p>
        </w:tc>
      </w:tr>
      <w:tr>
        <w:tblPrEx>
          <w:tblLayout w:type="fixed"/>
          <w:tblCellMar>
            <w:top w:w="0" w:type="dxa"/>
            <w:left w:w="0" w:type="dxa"/>
            <w:bottom w:w="0" w:type="dxa"/>
            <w:right w:w="0" w:type="dxa"/>
          </w:tblCellMar>
        </w:tblPrEx>
        <w:trPr>
          <w:trHeight w:val="648" w:hRule="atLeast"/>
        </w:trPr>
        <w:tc>
          <w:tcPr>
            <w:tcW w:w="46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电气</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装置</w:t>
            </w:r>
          </w:p>
        </w:tc>
        <w:tc>
          <w:tcPr>
            <w:tcW w:w="1123"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油浸式变压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器火灾爆炸</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除油浸变压器外，多油断路器等充油设备也可能发生爆炸。充油设备的绝缘油在高温电弧作用下气化和分解，喷出大量油雾和可燃气体，还可引起空间爆炸</w:t>
            </w:r>
          </w:p>
        </w:tc>
      </w:tr>
      <w:tr>
        <w:tblPrEx>
          <w:tblLayout w:type="fixed"/>
          <w:tblCellMar>
            <w:top w:w="0" w:type="dxa"/>
            <w:left w:w="0" w:type="dxa"/>
            <w:bottom w:w="0" w:type="dxa"/>
            <w:right w:w="0" w:type="dxa"/>
          </w:tblCellMar>
        </w:tblPrEx>
        <w:trPr>
          <w:trHeight w:val="321" w:hRule="atLeast"/>
        </w:trPr>
        <w:tc>
          <w:tcPr>
            <w:tcW w:w="46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及电</w:t>
            </w:r>
          </w:p>
        </w:tc>
        <w:tc>
          <w:tcPr>
            <w:tcW w:w="1123"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电动机着火</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异步电动机的火灾危险性是由于其内部和外部的诸如制造工艺和操作运行等种种原因造成的</w:t>
            </w:r>
          </w:p>
        </w:tc>
      </w:tr>
      <w:tr>
        <w:tblPrEx>
          <w:tblLayout w:type="fixed"/>
          <w:tblCellMar>
            <w:top w:w="0" w:type="dxa"/>
            <w:left w:w="0" w:type="dxa"/>
            <w:bottom w:w="0" w:type="dxa"/>
            <w:right w:w="0" w:type="dxa"/>
          </w:tblCellMar>
        </w:tblPrEx>
        <w:trPr>
          <w:trHeight w:val="1108" w:hRule="atLeast"/>
        </w:trPr>
        <w:tc>
          <w:tcPr>
            <w:tcW w:w="465" w:type="dxa"/>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气线</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路发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生燃</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w:t>
            </w:r>
          </w:p>
          <w:p>
            <w:pPr>
              <w:autoSpaceDE w:val="0"/>
              <w:autoSpaceDN w:val="0"/>
              <w:rPr>
                <w:rFonts w:hint="eastAsia" w:ascii="微软雅黑" w:hAnsi="微软雅黑" w:eastAsia="微软雅黑" w:cs="微软雅黑"/>
                <w:color w:val="000000"/>
                <w:kern w:val="0"/>
                <w:sz w:val="18"/>
                <w:szCs w:val="18"/>
              </w:rPr>
            </w:pPr>
          </w:p>
        </w:tc>
        <w:tc>
          <w:tcPr>
            <w:tcW w:w="1123" w:type="dxa"/>
            <w:gridSpan w:val="2"/>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电缆火灾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爆炸</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绝缘材料直接被电火花或电弧引燃；绝缘材料在高温作用下，发生自燃；绝缘材料在高温作用下，加速热老化进程，导致热击穿短路，产生的电弧，将其引燃。电缆火灾的常见起因：电缆绝缘损坏；电缆头故障使绝缘物自燃；电缆接头存在隐患；堆积在电缆上的粉尘起火；可燃气体从电缆沟窜人变、配电室；电缆起火形成蔓延</w:t>
            </w:r>
            <w:r>
              <w:rPr>
                <w:rFonts w:hint="eastAsia" w:ascii="微软雅黑" w:hAnsi="微软雅黑" w:eastAsia="微软雅黑" w:cs="微软雅黑"/>
                <w:color w:val="000000"/>
                <w:kern w:val="0"/>
                <w:sz w:val="18"/>
                <w:szCs w:val="18"/>
                <w:lang w:eastAsia="zh-CN"/>
              </w:rPr>
              <w:t>。</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考点三</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雷电危害(表2-3)</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表2—3雷申．危害</w:t>
      </w:r>
    </w:p>
    <w:tbl>
      <w:tblPr>
        <w:tblStyle w:val="4"/>
        <w:tblW w:w="8409" w:type="dxa"/>
        <w:tblInd w:w="15" w:type="dxa"/>
        <w:tblLayout w:type="fixed"/>
        <w:tblCellMar>
          <w:top w:w="0" w:type="dxa"/>
          <w:left w:w="0" w:type="dxa"/>
          <w:bottom w:w="0" w:type="dxa"/>
          <w:right w:w="0" w:type="dxa"/>
        </w:tblCellMar>
      </w:tblPr>
      <w:tblGrid>
        <w:gridCol w:w="465"/>
        <w:gridCol w:w="1123"/>
        <w:gridCol w:w="6821"/>
      </w:tblGrid>
      <w:tr>
        <w:tblPrEx>
          <w:tblLayout w:type="fixed"/>
          <w:tblCellMar>
            <w:top w:w="0" w:type="dxa"/>
            <w:left w:w="0" w:type="dxa"/>
            <w:bottom w:w="0" w:type="dxa"/>
            <w:right w:w="0" w:type="dxa"/>
          </w:tblCellMar>
        </w:tblPrEx>
        <w:trPr>
          <w:trHeight w:val="297"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76" w:hRule="atLeast"/>
        </w:trPr>
        <w:tc>
          <w:tcPr>
            <w:tcW w:w="46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电性质的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破坏作用</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包括破坏高压输电系统，毁坏发电机、电力变压器等电气设备的绝缘，烧断电线或劈裂电杆，造成大规模停电事故；绝缘损坏可能引起短路，导致火灾或爆炸事故等</w:t>
            </w:r>
          </w:p>
        </w:tc>
      </w:tr>
      <w:tr>
        <w:tblPrEx>
          <w:tblLayout w:type="fixed"/>
          <w:tblCellMar>
            <w:top w:w="0" w:type="dxa"/>
            <w:left w:w="0" w:type="dxa"/>
            <w:bottom w:w="0" w:type="dxa"/>
            <w:right w:w="0" w:type="dxa"/>
          </w:tblCellMar>
        </w:tblPrEx>
        <w:trPr>
          <w:trHeight w:val="681" w:hRule="atLeast"/>
        </w:trPr>
        <w:tc>
          <w:tcPr>
            <w:tcW w:w="465"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形式</w:t>
            </w: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热性质的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破坏作用</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直击雷放电的高温电弧能直接引燃邻近的可燃物；巨大的雷电流通过导体能够烧毁导体；使金属熔化、飞溅引发火灾或爆炸。球雷侵入可引起火灾</w:t>
            </w:r>
          </w:p>
        </w:tc>
      </w:tr>
      <w:tr>
        <w:tblPrEx>
          <w:tblLayout w:type="fixed"/>
          <w:tblCellMar>
            <w:top w:w="0" w:type="dxa"/>
            <w:left w:w="0" w:type="dxa"/>
            <w:bottom w:w="0" w:type="dxa"/>
            <w:right w:w="0" w:type="dxa"/>
          </w:tblCellMar>
        </w:tblPrEx>
        <w:trPr>
          <w:trHeight w:val="681" w:hRule="atLeast"/>
        </w:trPr>
        <w:tc>
          <w:tcPr>
            <w:tcW w:w="465" w:type="dxa"/>
            <w:vMerge w:val="continue"/>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机械性质的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破坏作用</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巨大的雷电流通过被击物，使被击物缝隙中的气体剧烈膨胀．缝隙中的水分也急剧蒸发汽化为大量气体，导致被击物破坏或爆炸</w:t>
            </w:r>
          </w:p>
        </w:tc>
      </w:tr>
      <w:tr>
        <w:tblPrEx>
          <w:tblLayout w:type="fixed"/>
          <w:tblCellMar>
            <w:top w:w="0" w:type="dxa"/>
            <w:left w:w="0" w:type="dxa"/>
            <w:bottom w:w="0" w:type="dxa"/>
            <w:right w:w="0" w:type="dxa"/>
          </w:tblCellMar>
        </w:tblPrEx>
        <w:trPr>
          <w:trHeight w:val="355" w:hRule="atLeast"/>
        </w:trPr>
        <w:tc>
          <w:tcPr>
            <w:tcW w:w="158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事故后果</w:t>
            </w: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火灾和爆炸、触电、设备和设施毁坏、大规模停电</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考点四</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静电的特性及危害(表2—4)</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表2—4静电的特性及危害</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920"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静电的特性</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静电的起电方式：接触·分离起电；破断起电；感应起电；电荷迁移</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当一个带电体与一个</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非带电体接触时，电荷将发生迁移而使非带电体带电。如：当带电雾滴或粉尘撞击导体时，便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会产生电荷迁移；当气体离子流射在不带电的物体上时，也会产生电荷迁移</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蒸气或气体在管道内高速流动，以及由阀门、缝隙高速喷出时也会产生危险的静电类似液</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体，蒸气产生静电也是由于接触、分离和分裂等原因产生的。完全纯净的气体即使高速流动或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高速喷出也不会产生静电，但由于气体内往往含有灰尘、铁末、液滴、蒸气等固体颗粒或液体</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颗粒，正是这些颗粒的碰撞、摩擦、分裂等过程产生了静电</w:t>
            </w:r>
          </w:p>
        </w:tc>
      </w:tr>
      <w:tr>
        <w:tblPrEx>
          <w:tblLayout w:type="fixed"/>
          <w:tblCellMar>
            <w:top w:w="0" w:type="dxa"/>
            <w:left w:w="0" w:type="dxa"/>
            <w:bottom w:w="0" w:type="dxa"/>
            <w:right w:w="0" w:type="dxa"/>
          </w:tblCellMar>
        </w:tblPrEx>
        <w:trPr>
          <w:trHeight w:val="1435"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危害形式和事故后果</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在有爆炸和火灾危险的场所，静电放电火花会成为可燃性物质的点火源，造成爆炸和火</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灾事故。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人体因受到静电电击的刺激，可能引发二次事故。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某些生产过程中，静电的物理现象会对生产产生妨碍，导致产品质量不良，电子设备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损坏</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考点五</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电气装置故障危害(表2—5)</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表2—5电气装置故障危害</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31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故障危害</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1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引起火灾和爆炸</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电气装置故障产生的危险温度、电火花、电弧等可能构成引燃源，引起火灾和爆炸的发生</w:t>
            </w:r>
          </w:p>
        </w:tc>
      </w:tr>
      <w:tr>
        <w:tblPrEx>
          <w:tblLayout w:type="fixed"/>
          <w:tblCellMar>
            <w:top w:w="0" w:type="dxa"/>
            <w:left w:w="0" w:type="dxa"/>
            <w:bottom w:w="0" w:type="dxa"/>
            <w:right w:w="0" w:type="dxa"/>
          </w:tblCellMar>
        </w:tblPrEx>
        <w:trPr>
          <w:trHeight w:val="67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异常带电</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电气设备因绝缘不良产生漏电，使其金属外壳带电；高压故障接地时。在接地处附近呈现出</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较高的跨步电压，形成触电的危险条件</w:t>
            </w:r>
          </w:p>
        </w:tc>
      </w:tr>
      <w:tr>
        <w:tblPrEx>
          <w:tblLayout w:type="fixed"/>
          <w:tblCellMar>
            <w:top w:w="0" w:type="dxa"/>
            <w:left w:w="0" w:type="dxa"/>
            <w:bottom w:w="0" w:type="dxa"/>
            <w:right w:w="0" w:type="dxa"/>
          </w:tblCellMar>
        </w:tblPrEx>
        <w:trPr>
          <w:trHeight w:val="31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异常停电</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异常停电在某些特定场合会造成设备损坏和人身伤亡</w:t>
            </w:r>
          </w:p>
        </w:tc>
      </w:tr>
      <w:tr>
        <w:tblPrEx>
          <w:tblLayout w:type="fixed"/>
          <w:tblCellMar>
            <w:top w:w="0" w:type="dxa"/>
            <w:left w:w="0" w:type="dxa"/>
            <w:bottom w:w="0" w:type="dxa"/>
            <w:right w:w="0" w:type="dxa"/>
          </w:tblCellMar>
        </w:tblPrEx>
        <w:trPr>
          <w:trHeight w:val="676"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安全相关系统失效</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如果因故障，安全相关系统在需要应急动作时不能实现所要求的安全功能，将会导致危险事</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故发生</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考点六</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直接接触电击防护措施(表2—6)</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表2—6直接接触电击防护措施</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防护措施</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660"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绝缘</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绝缘是指利用绝缘材料对带电体进行封闭和隔离。良好的绝缘也是保证电气系统正常运行的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基本条件。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绝缘材料的电阻通常用兆欧表</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摇表</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测量。兆欧表主要由作为电源的手摇发电机</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或其他</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直流电源</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和作为测量机构的磁电式比率计</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双动线圈比率计</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组成。测量时实际上是给被测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物加上直流电压．测量其通过的泄漏电流，在表的盘面上读到的是经过换算的绝缘电阻值。</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任何情况下绝缘电阻不得低于每伏工作电压</w:t>
            </w:r>
            <w:r>
              <w:rPr>
                <w:rFonts w:hint="eastAsia" w:ascii="微软雅黑" w:hAnsi="微软雅黑" w:eastAsia="微软雅黑" w:cs="微软雅黑"/>
                <w:color w:val="000000"/>
                <w:kern w:val="0"/>
                <w:sz w:val="18"/>
                <w:szCs w:val="18"/>
              </w:rPr>
              <w:t>1000</w:t>
            </w:r>
            <w:r>
              <w:rPr>
                <w:rFonts w:hint="eastAsia" w:ascii="微软雅黑" w:hAnsi="微软雅黑" w:eastAsia="微软雅黑" w:cs="微软雅黑"/>
                <w:color w:val="000000"/>
                <w:kern w:val="0"/>
                <w:sz w:val="18"/>
                <w:szCs w:val="18"/>
              </w:rPr>
              <w:t>Ω，并应符合专业标准的规定</w:t>
            </w:r>
          </w:p>
        </w:tc>
      </w:tr>
      <w:tr>
        <w:tblPrEx>
          <w:tblLayout w:type="fixed"/>
          <w:tblCellMar>
            <w:top w:w="0" w:type="dxa"/>
            <w:left w:w="0" w:type="dxa"/>
            <w:bottom w:w="0" w:type="dxa"/>
            <w:right w:w="0" w:type="dxa"/>
          </w:tblCellMar>
        </w:tblPrEx>
        <w:trPr>
          <w:trHeight w:val="1200"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屏护和间距</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屏护和间距是最为常用的电气安全措施之一。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屏护是一种对电击危险因素进行隔离的手段。</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间距是指带电体与地面之间、带电体与其他设备和设施之间、带电体与带电体之间必要的安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全距离。低压操作时，人体及其所携带工具与带电体之间的距离不得小于</w:t>
            </w:r>
            <w:r>
              <w:rPr>
                <w:rFonts w:hint="eastAsia" w:ascii="微软雅黑" w:hAnsi="微软雅黑" w:eastAsia="微软雅黑" w:cs="微软雅黑"/>
                <w:color w:val="000000"/>
                <w:kern w:val="0"/>
                <w:sz w:val="18"/>
                <w:szCs w:val="18"/>
              </w:rPr>
              <w:t>0.1m</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考点七</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间接接触电击防护措施(表2—7)</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表2—7间接接触电击防护措施</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960"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IT</w:t>
            </w:r>
            <w:r>
              <w:rPr>
                <w:rFonts w:hint="eastAsia" w:ascii="微软雅黑" w:hAnsi="微软雅黑" w:eastAsia="微软雅黑" w:cs="微软雅黑"/>
                <w:color w:val="000000"/>
                <w:kern w:val="0"/>
                <w:sz w:val="18"/>
                <w:szCs w:val="18"/>
              </w:rPr>
              <w:t>系统</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保护接地</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其安全原理是通过低电阻接地，把故障电压限制在安全范围以内。但应注意漏电状态并未因</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保护接地而消失。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保护接地适用于各种不接地配电网</w:t>
            </w:r>
          </w:p>
        </w:tc>
      </w:tr>
      <w:tr>
        <w:tblPrEx>
          <w:tblLayout w:type="fixed"/>
          <w:tblCellMar>
            <w:top w:w="0" w:type="dxa"/>
            <w:left w:w="0" w:type="dxa"/>
            <w:bottom w:w="0" w:type="dxa"/>
            <w:right w:w="0" w:type="dxa"/>
          </w:tblCellMar>
        </w:tblPrEx>
        <w:trPr>
          <w:trHeight w:val="32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TT</w:t>
            </w:r>
            <w:r>
              <w:rPr>
                <w:rFonts w:hint="eastAsia" w:ascii="微软雅黑" w:hAnsi="微软雅黑" w:eastAsia="微软雅黑" w:cs="微软雅黑"/>
                <w:color w:val="000000"/>
                <w:kern w:val="0"/>
                <w:sz w:val="18"/>
                <w:szCs w:val="18"/>
              </w:rPr>
              <w:t>系统</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主要用于低压用户，即用于未装备配电变压器，从外面引进低压电源的小型用户</w:t>
            </w:r>
          </w:p>
        </w:tc>
      </w:tr>
      <w:tr>
        <w:tblPrEx>
          <w:tblLayout w:type="fixed"/>
          <w:tblCellMar>
            <w:top w:w="0" w:type="dxa"/>
            <w:left w:w="0" w:type="dxa"/>
            <w:bottom w:w="0" w:type="dxa"/>
            <w:right w:w="0" w:type="dxa"/>
          </w:tblCellMar>
        </w:tblPrEx>
        <w:trPr>
          <w:trHeight w:val="1910"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TN</w:t>
            </w:r>
            <w:r>
              <w:rPr>
                <w:rFonts w:hint="eastAsia" w:ascii="微软雅黑" w:hAnsi="微软雅黑" w:eastAsia="微软雅黑" w:cs="微软雅黑"/>
                <w:color w:val="000000"/>
                <w:kern w:val="0"/>
                <w:sz w:val="18"/>
                <w:szCs w:val="18"/>
              </w:rPr>
              <w:t>系统</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保护接零</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TN</w:t>
            </w:r>
            <w:r>
              <w:rPr>
                <w:rFonts w:hint="eastAsia" w:ascii="微软雅黑" w:hAnsi="微软雅黑" w:eastAsia="微软雅黑" w:cs="微软雅黑"/>
                <w:color w:val="000000"/>
                <w:kern w:val="0"/>
                <w:sz w:val="18"/>
                <w:szCs w:val="18"/>
              </w:rPr>
              <w:t>系统分为</w:t>
            </w:r>
            <w:r>
              <w:rPr>
                <w:rFonts w:hint="eastAsia" w:ascii="微软雅黑" w:hAnsi="微软雅黑" w:eastAsia="微软雅黑" w:cs="微软雅黑"/>
                <w:color w:val="000000"/>
                <w:kern w:val="0"/>
                <w:sz w:val="18"/>
                <w:szCs w:val="18"/>
              </w:rPr>
              <w:t>TN</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S</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TN</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C</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S</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TN</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C</w:t>
            </w:r>
            <w:r>
              <w:rPr>
                <w:rFonts w:hint="eastAsia" w:ascii="微软雅黑" w:hAnsi="微软雅黑" w:eastAsia="微软雅黑" w:cs="微软雅黑"/>
                <w:color w:val="000000"/>
                <w:kern w:val="0"/>
                <w:sz w:val="18"/>
                <w:szCs w:val="18"/>
              </w:rPr>
              <w:t>三种类型。有爆炸危险、火灾危险性大及其他安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全要求高的场所应采用</w:t>
            </w:r>
            <w:r>
              <w:rPr>
                <w:rFonts w:hint="eastAsia" w:ascii="微软雅黑" w:hAnsi="微软雅黑" w:eastAsia="微软雅黑" w:cs="微软雅黑"/>
                <w:color w:val="000000"/>
                <w:kern w:val="0"/>
                <w:sz w:val="18"/>
                <w:szCs w:val="18"/>
              </w:rPr>
              <w:t>TN S</w:t>
            </w:r>
            <w:r>
              <w:rPr>
                <w:rFonts w:hint="eastAsia" w:ascii="微软雅黑" w:hAnsi="微软雅黑" w:eastAsia="微软雅黑" w:cs="微软雅黑"/>
                <w:color w:val="000000"/>
                <w:kern w:val="0"/>
                <w:sz w:val="18"/>
                <w:szCs w:val="18"/>
              </w:rPr>
              <w:t>系统；厂内低压配电的场所及民用楼房应采用</w:t>
            </w:r>
            <w:r>
              <w:rPr>
                <w:rFonts w:hint="eastAsia" w:ascii="微软雅黑" w:hAnsi="微软雅黑" w:eastAsia="微软雅黑" w:cs="微软雅黑"/>
                <w:color w:val="000000"/>
                <w:kern w:val="0"/>
                <w:sz w:val="18"/>
                <w:szCs w:val="18"/>
              </w:rPr>
              <w:t>TN</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C</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S</w:t>
            </w:r>
            <w:r>
              <w:rPr>
                <w:rFonts w:hint="eastAsia" w:ascii="微软雅黑" w:hAnsi="微软雅黑" w:eastAsia="微软雅黑" w:cs="微软雅黑"/>
                <w:color w:val="000000"/>
                <w:kern w:val="0"/>
                <w:sz w:val="18"/>
                <w:szCs w:val="18"/>
              </w:rPr>
              <w:t>系统；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触电危险性小、用电设备简单的场合可采用</w:t>
            </w:r>
            <w:r>
              <w:rPr>
                <w:rFonts w:hint="eastAsia" w:ascii="微软雅黑" w:hAnsi="微软雅黑" w:eastAsia="微软雅黑" w:cs="微软雅黑"/>
                <w:color w:val="000000"/>
                <w:kern w:val="0"/>
                <w:sz w:val="18"/>
                <w:szCs w:val="18"/>
              </w:rPr>
              <w:t>TN</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 xml:space="preserve"> C</w:t>
            </w:r>
            <w:r>
              <w:rPr>
                <w:rFonts w:hint="eastAsia" w:ascii="微软雅黑" w:hAnsi="微软雅黑" w:eastAsia="微软雅黑" w:cs="微软雅黑"/>
                <w:color w:val="000000"/>
                <w:kern w:val="0"/>
                <w:sz w:val="18"/>
                <w:szCs w:val="18"/>
              </w:rPr>
              <w:t>系统。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应用保护接零时的等电位联结是指保护导体与建筑物的金属结构、生产用的金属装备以及允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许用作保护线的金属管道等用于其他目的的不带电导体之间的联结，以提高</w:t>
            </w:r>
            <w:r>
              <w:rPr>
                <w:rFonts w:hint="eastAsia" w:ascii="微软雅黑" w:hAnsi="微软雅黑" w:eastAsia="微软雅黑" w:cs="微软雅黑"/>
                <w:color w:val="000000"/>
                <w:kern w:val="0"/>
                <w:sz w:val="18"/>
                <w:szCs w:val="18"/>
              </w:rPr>
              <w:t>TN</w:t>
            </w:r>
            <w:r>
              <w:rPr>
                <w:rFonts w:hint="eastAsia" w:ascii="微软雅黑" w:hAnsi="微软雅黑" w:eastAsia="微软雅黑" w:cs="微软雅黑"/>
                <w:color w:val="000000"/>
                <w:kern w:val="0"/>
                <w:sz w:val="18"/>
                <w:szCs w:val="18"/>
              </w:rPr>
              <w:t>系统的可靠性。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通过构成等电位环境的方法，将环境内的接触电压和跨步电压限制在安全范围内，从而防止电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气事故的发生。等电位联结也是防雷的保护措施之一</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考点八</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兼防直接接触和间接接触电击的措施(表2—8)</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表2-8兼防直接接触和间接接触电击的措施</w:t>
      </w:r>
    </w:p>
    <w:tbl>
      <w:tblPr>
        <w:tblStyle w:val="4"/>
        <w:tblW w:w="8428" w:type="dxa"/>
        <w:tblInd w:w="15" w:type="dxa"/>
        <w:tblLayout w:type="fixed"/>
        <w:tblCellMar>
          <w:top w:w="0" w:type="dxa"/>
          <w:left w:w="0" w:type="dxa"/>
          <w:bottom w:w="0" w:type="dxa"/>
          <w:right w:w="0" w:type="dxa"/>
        </w:tblCellMar>
      </w:tblPr>
      <w:tblGrid>
        <w:gridCol w:w="312"/>
        <w:gridCol w:w="556"/>
        <w:gridCol w:w="720"/>
        <w:gridCol w:w="6840"/>
      </w:tblGrid>
      <w:tr>
        <w:tblPrEx>
          <w:tblLayout w:type="fixed"/>
          <w:tblCellMar>
            <w:top w:w="0" w:type="dxa"/>
            <w:left w:w="0" w:type="dxa"/>
            <w:bottom w:w="0" w:type="dxa"/>
            <w:right w:w="0" w:type="dxa"/>
          </w:tblCellMar>
        </w:tblPrEx>
        <w:trPr>
          <w:trHeight w:val="297" w:hRule="atLeast"/>
        </w:trPr>
        <w:tc>
          <w:tcPr>
            <w:tcW w:w="1588"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4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26" w:hRule="atLeast"/>
        </w:trPr>
        <w:tc>
          <w:tcPr>
            <w:tcW w:w="312" w:type="dxa"/>
            <w:vMerge w:val="restart"/>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556" w:type="dxa"/>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2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。类设备</w:t>
            </w: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是仅靠基本绝缘作为防触电保护的设备</w:t>
            </w:r>
          </w:p>
        </w:tc>
      </w:tr>
      <w:tr>
        <w:tblPrEx>
          <w:tblLayout w:type="fixed"/>
          <w:tblCellMar>
            <w:top w:w="0" w:type="dxa"/>
            <w:left w:w="0" w:type="dxa"/>
            <w:bottom w:w="0" w:type="dxa"/>
            <w:right w:w="0" w:type="dxa"/>
          </w:tblCellMar>
        </w:tblPrEx>
        <w:trPr>
          <w:trHeight w:val="633" w:hRule="atLeast"/>
        </w:trPr>
        <w:tc>
          <w:tcPr>
            <w:tcW w:w="312"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556" w:type="dxa"/>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电气</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的防</w:t>
            </w:r>
          </w:p>
        </w:tc>
        <w:tc>
          <w:tcPr>
            <w:tcW w:w="72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。璞设备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和Ⅱ设备</w:t>
            </w: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0I</w:t>
            </w:r>
            <w:r>
              <w:rPr>
                <w:rFonts w:hint="eastAsia" w:ascii="微软雅黑" w:hAnsi="微软雅黑" w:eastAsia="微软雅黑" w:cs="微软雅黑"/>
                <w:color w:val="000000"/>
                <w:kern w:val="0"/>
                <w:sz w:val="18"/>
                <w:szCs w:val="18"/>
              </w:rPr>
              <w:t>类设备的金属外壳上有接地端子；</w:t>
            </w:r>
            <w:r>
              <w:rPr>
                <w:rFonts w:hint="eastAsia" w:ascii="微软雅黑" w:hAnsi="微软雅黑" w:eastAsia="微软雅黑" w:cs="微软雅黑"/>
                <w:color w:val="000000"/>
                <w:kern w:val="0"/>
                <w:sz w:val="18"/>
                <w:szCs w:val="18"/>
              </w:rPr>
              <w:t>I</w:t>
            </w:r>
            <w:r>
              <w:rPr>
                <w:rFonts w:hint="eastAsia" w:ascii="微软雅黑" w:hAnsi="微软雅黑" w:eastAsia="微软雅黑" w:cs="微软雅黑"/>
                <w:color w:val="000000"/>
                <w:kern w:val="0"/>
                <w:sz w:val="18"/>
                <w:szCs w:val="18"/>
              </w:rPr>
              <w:t>类设备的金属外壳上没有接地端子，但引出带有保</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护端子的电源插头</w:t>
            </w:r>
          </w:p>
        </w:tc>
      </w:tr>
      <w:tr>
        <w:tblPrEx>
          <w:tblLayout w:type="fixed"/>
          <w:tblCellMar>
            <w:top w:w="0" w:type="dxa"/>
            <w:left w:w="0" w:type="dxa"/>
            <w:bottom w:w="0" w:type="dxa"/>
            <w:right w:w="0" w:type="dxa"/>
          </w:tblCellMar>
        </w:tblPrEx>
        <w:trPr>
          <w:trHeight w:val="633" w:hRule="atLeast"/>
        </w:trPr>
        <w:tc>
          <w:tcPr>
            <w:tcW w:w="312"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556" w:type="dxa"/>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触电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保护</w:t>
            </w:r>
          </w:p>
        </w:tc>
        <w:tc>
          <w:tcPr>
            <w:tcW w:w="72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Ⅱ类设备</w:t>
            </w: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设备的防触电保护不仅靠基本绝缘还具备像双重绝缘或加强绝缘类型的附加安全措施。这种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设备不采用保护接地的措施，也不依赖于安装条件</w:t>
            </w:r>
          </w:p>
        </w:tc>
      </w:tr>
      <w:tr>
        <w:tblPrEx>
          <w:tblLayout w:type="fixed"/>
          <w:tblCellMar>
            <w:top w:w="0" w:type="dxa"/>
            <w:left w:w="0" w:type="dxa"/>
            <w:bottom w:w="0" w:type="dxa"/>
            <w:right w:w="0" w:type="dxa"/>
          </w:tblCellMar>
        </w:tblPrEx>
        <w:trPr>
          <w:trHeight w:val="321" w:hRule="atLeast"/>
        </w:trPr>
        <w:tc>
          <w:tcPr>
            <w:tcW w:w="312"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556" w:type="dxa"/>
            <w:tcBorders>
              <w:top w:val="nil"/>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分类</w:t>
            </w:r>
          </w:p>
          <w:p>
            <w:pPr>
              <w:autoSpaceDE w:val="0"/>
              <w:autoSpaceDN w:val="0"/>
              <w:rPr>
                <w:rFonts w:hint="eastAsia" w:ascii="微软雅黑" w:hAnsi="微软雅黑" w:eastAsia="微软雅黑" w:cs="微软雅黑"/>
                <w:color w:val="000000"/>
                <w:kern w:val="0"/>
                <w:sz w:val="18"/>
                <w:szCs w:val="18"/>
              </w:rPr>
            </w:pPr>
          </w:p>
        </w:tc>
        <w:tc>
          <w:tcPr>
            <w:tcW w:w="72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Ⅲ类设备</w:t>
            </w: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应注意Ⅲ类设备不得具有保护接地手段</w:t>
            </w:r>
          </w:p>
        </w:tc>
      </w:tr>
      <w:tr>
        <w:tblPrEx>
          <w:tblLayout w:type="fixed"/>
          <w:tblCellMar>
            <w:top w:w="0" w:type="dxa"/>
            <w:left w:w="0" w:type="dxa"/>
            <w:bottom w:w="0" w:type="dxa"/>
            <w:right w:w="0" w:type="dxa"/>
          </w:tblCellMar>
        </w:tblPrEx>
        <w:trPr>
          <w:trHeight w:val="321" w:hRule="atLeast"/>
        </w:trPr>
        <w:tc>
          <w:tcPr>
            <w:tcW w:w="312"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556" w:type="dxa"/>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2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工作绝缘</w:t>
            </w: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是保证电气设备正常工作和防止触电的基本绝缘，位于带电体与不可触及金属件之间</w:t>
            </w:r>
          </w:p>
        </w:tc>
      </w:tr>
      <w:tr>
        <w:tblPrEx>
          <w:tblLayout w:type="fixed"/>
          <w:tblCellMar>
            <w:top w:w="0" w:type="dxa"/>
            <w:left w:w="0" w:type="dxa"/>
            <w:bottom w:w="0" w:type="dxa"/>
            <w:right w:w="0" w:type="dxa"/>
          </w:tblCellMar>
        </w:tblPrEx>
        <w:trPr>
          <w:trHeight w:val="638" w:hRule="atLeast"/>
        </w:trPr>
        <w:tc>
          <w:tcPr>
            <w:tcW w:w="312"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重</w:t>
            </w:r>
          </w:p>
          <w:p>
            <w:pPr>
              <w:autoSpaceDE w:val="0"/>
              <w:autoSpaceDN w:val="0"/>
              <w:rPr>
                <w:rFonts w:hint="eastAsia" w:ascii="微软雅黑" w:hAnsi="微软雅黑" w:eastAsia="微软雅黑" w:cs="微软雅黑"/>
                <w:color w:val="000000"/>
                <w:kern w:val="0"/>
                <w:sz w:val="18"/>
                <w:szCs w:val="18"/>
              </w:rPr>
            </w:pPr>
          </w:p>
        </w:tc>
        <w:tc>
          <w:tcPr>
            <w:tcW w:w="556" w:type="dxa"/>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双重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绝缘</w:t>
            </w:r>
          </w:p>
          <w:p>
            <w:pPr>
              <w:autoSpaceDE w:val="0"/>
              <w:autoSpaceDN w:val="0"/>
              <w:rPr>
                <w:rFonts w:hint="eastAsia" w:ascii="微软雅黑" w:hAnsi="微软雅黑" w:eastAsia="微软雅黑" w:cs="微软雅黑"/>
                <w:color w:val="000000"/>
                <w:kern w:val="0"/>
                <w:sz w:val="18"/>
                <w:szCs w:val="18"/>
              </w:rPr>
            </w:pPr>
          </w:p>
        </w:tc>
        <w:tc>
          <w:tcPr>
            <w:tcW w:w="72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保护绝缘</w:t>
            </w: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是在工作绝缘因机械破损或击穿等而失效的情况下，可防止触电的独立绝缘，位于不可触及</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金属件与可触及金属件之间</w:t>
            </w:r>
          </w:p>
        </w:tc>
      </w:tr>
      <w:tr>
        <w:tblPrEx>
          <w:tblLayout w:type="fixed"/>
          <w:tblCellMar>
            <w:top w:w="0" w:type="dxa"/>
            <w:left w:w="0" w:type="dxa"/>
            <w:bottom w:w="0" w:type="dxa"/>
            <w:right w:w="0" w:type="dxa"/>
          </w:tblCellMar>
        </w:tblPrEx>
        <w:trPr>
          <w:trHeight w:val="321" w:hRule="atLeast"/>
        </w:trPr>
        <w:tc>
          <w:tcPr>
            <w:tcW w:w="312"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绝</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缘</w:t>
            </w:r>
          </w:p>
        </w:tc>
        <w:tc>
          <w:tcPr>
            <w:tcW w:w="556" w:type="dxa"/>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和加</w:t>
            </w:r>
          </w:p>
          <w:p>
            <w:pPr>
              <w:autoSpaceDE w:val="0"/>
              <w:autoSpaceDN w:val="0"/>
              <w:rPr>
                <w:rFonts w:hint="eastAsia" w:ascii="微软雅黑" w:hAnsi="微软雅黑" w:eastAsia="微软雅黑" w:cs="微软雅黑"/>
                <w:color w:val="000000"/>
                <w:kern w:val="0"/>
                <w:sz w:val="18"/>
                <w:szCs w:val="18"/>
              </w:rPr>
            </w:pPr>
          </w:p>
        </w:tc>
        <w:tc>
          <w:tcPr>
            <w:tcW w:w="72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双重绝缘</w:t>
            </w: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是兼有工作绝缘和附加绝缘的绝缘</w:t>
            </w:r>
          </w:p>
        </w:tc>
      </w:tr>
      <w:tr>
        <w:tblPrEx>
          <w:tblLayout w:type="fixed"/>
          <w:tblCellMar>
            <w:top w:w="0" w:type="dxa"/>
            <w:left w:w="0" w:type="dxa"/>
            <w:bottom w:w="0" w:type="dxa"/>
            <w:right w:w="0" w:type="dxa"/>
          </w:tblCellMar>
        </w:tblPrEx>
        <w:trPr>
          <w:trHeight w:val="643" w:hRule="atLeast"/>
        </w:trPr>
        <w:tc>
          <w:tcPr>
            <w:tcW w:w="312"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556" w:type="dxa"/>
            <w:tcBorders>
              <w:top w:val="nil"/>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强绝</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缘措施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72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加强绝缘</w:t>
            </w: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是基本绝缘的改进，在绝缘强度和机械性能上具备了与双重绝缘同等防触电能力的单一绝</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缘，在构成上可以包含一层或多层绝缘材料</w:t>
            </w:r>
          </w:p>
        </w:tc>
      </w:tr>
      <w:tr>
        <w:tblPrEx>
          <w:tblLayout w:type="fixed"/>
          <w:tblCellMar>
            <w:top w:w="0" w:type="dxa"/>
            <w:left w:w="0" w:type="dxa"/>
            <w:bottom w:w="0" w:type="dxa"/>
            <w:right w:w="0" w:type="dxa"/>
          </w:tblCellMar>
        </w:tblPrEx>
        <w:trPr>
          <w:trHeight w:val="1435" w:hRule="atLeast"/>
        </w:trPr>
        <w:tc>
          <w:tcPr>
            <w:tcW w:w="312" w:type="dxa"/>
            <w:vMerge w:val="continue"/>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276"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双重绝缘和加强</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绝缘的安全条件</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工作绝缘的绝缘电阻不得低于</w:t>
            </w:r>
            <w:r>
              <w:rPr>
                <w:rFonts w:hint="eastAsia" w:ascii="微软雅黑" w:hAnsi="微软雅黑" w:eastAsia="微软雅黑" w:cs="微软雅黑"/>
                <w:color w:val="000000"/>
                <w:kern w:val="0"/>
                <w:sz w:val="18"/>
                <w:szCs w:val="18"/>
              </w:rPr>
              <w:t>2M</w:t>
            </w:r>
            <w:r>
              <w:rPr>
                <w:rFonts w:hint="eastAsia" w:ascii="微软雅黑" w:hAnsi="微软雅黑" w:eastAsia="微软雅黑" w:cs="微软雅黑"/>
                <w:color w:val="000000"/>
                <w:kern w:val="0"/>
                <w:sz w:val="18"/>
                <w:szCs w:val="18"/>
              </w:rPr>
              <w:t>Ω；保护绝缘的绝缘电阻不得低于</w:t>
            </w:r>
            <w:r>
              <w:rPr>
                <w:rFonts w:hint="eastAsia" w:ascii="微软雅黑" w:hAnsi="微软雅黑" w:eastAsia="微软雅黑" w:cs="微软雅黑"/>
                <w:color w:val="000000"/>
                <w:kern w:val="0"/>
                <w:sz w:val="18"/>
                <w:szCs w:val="18"/>
              </w:rPr>
              <w:t>5M</w:t>
            </w:r>
            <w:r>
              <w:rPr>
                <w:rFonts w:hint="eastAsia" w:ascii="微软雅黑" w:hAnsi="微软雅黑" w:eastAsia="微软雅黑" w:cs="微软雅黑"/>
                <w:color w:val="000000"/>
                <w:kern w:val="0"/>
                <w:sz w:val="18"/>
                <w:szCs w:val="18"/>
              </w:rPr>
              <w:t>Ω；加强绝缘的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绝缘电阻不得低于</w:t>
            </w:r>
            <w:r>
              <w:rPr>
                <w:rFonts w:hint="eastAsia" w:ascii="微软雅黑" w:hAnsi="微软雅黑" w:eastAsia="微软雅黑" w:cs="微软雅黑"/>
                <w:color w:val="000000"/>
                <w:kern w:val="0"/>
                <w:sz w:val="18"/>
                <w:szCs w:val="18"/>
              </w:rPr>
              <w:t>7M</w:t>
            </w:r>
            <w:r>
              <w:rPr>
                <w:rFonts w:hint="eastAsia" w:ascii="微软雅黑" w:hAnsi="微软雅黑" w:eastAsia="微软雅黑" w:cs="微软雅黑"/>
                <w:color w:val="000000"/>
                <w:kern w:val="0"/>
                <w:sz w:val="18"/>
                <w:szCs w:val="18"/>
              </w:rPr>
              <w:t>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双重绝缘和加强绝缘标志。“回”作为Ⅱ类设备技术信息一部分标在设备明显位置上。</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手持电动工具应优先选用Ⅱ类设备；在潮湿场所及金属构架上工作时，除选用特低电压工具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外，也应尽量选用Ⅱ类设备</w:t>
            </w:r>
          </w:p>
        </w:tc>
      </w:tr>
      <w:tr>
        <w:tblPrEx>
          <w:tblLayout w:type="fixed"/>
          <w:tblCellMar>
            <w:top w:w="0" w:type="dxa"/>
            <w:left w:w="0" w:type="dxa"/>
            <w:bottom w:w="0" w:type="dxa"/>
            <w:right w:w="0" w:type="dxa"/>
          </w:tblCellMar>
        </w:tblPrEx>
        <w:trPr>
          <w:trHeight w:val="792" w:hRule="atLeast"/>
        </w:trPr>
        <w:tc>
          <w:tcPr>
            <w:tcW w:w="1588" w:type="dxa"/>
            <w:gridSpan w:val="3"/>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安全电压</w:t>
            </w: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特别危险环境中使用的手持电动工具应采用</w:t>
            </w:r>
            <w:r>
              <w:rPr>
                <w:rFonts w:hint="eastAsia" w:ascii="微软雅黑" w:hAnsi="微软雅黑" w:eastAsia="微软雅黑" w:cs="微软雅黑"/>
                <w:color w:val="000000"/>
                <w:kern w:val="0"/>
                <w:sz w:val="18"/>
                <w:szCs w:val="18"/>
              </w:rPr>
              <w:t>42V</w:t>
            </w:r>
            <w:r>
              <w:rPr>
                <w:rFonts w:hint="eastAsia" w:ascii="微软雅黑" w:hAnsi="微软雅黑" w:eastAsia="微软雅黑" w:cs="微软雅黑"/>
                <w:color w:val="000000"/>
                <w:kern w:val="0"/>
                <w:sz w:val="18"/>
                <w:szCs w:val="18"/>
              </w:rPr>
              <w:t>特低电压；有电击危险环境中使用的手持照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明灯和局部照明灯应采用</w:t>
            </w:r>
            <w:r>
              <w:rPr>
                <w:rFonts w:hint="eastAsia" w:ascii="微软雅黑" w:hAnsi="微软雅黑" w:eastAsia="微软雅黑" w:cs="微软雅黑"/>
                <w:color w:val="000000"/>
                <w:kern w:val="0"/>
                <w:sz w:val="18"/>
                <w:szCs w:val="18"/>
              </w:rPr>
              <w:t>36v</w:t>
            </w:r>
            <w:r>
              <w:rPr>
                <w:rFonts w:hint="eastAsia" w:ascii="微软雅黑" w:hAnsi="微软雅黑" w:eastAsia="微软雅黑" w:cs="微软雅黑"/>
                <w:color w:val="000000"/>
                <w:kern w:val="0"/>
                <w:sz w:val="18"/>
                <w:szCs w:val="18"/>
              </w:rPr>
              <w:t>或</w:t>
            </w:r>
            <w:r>
              <w:rPr>
                <w:rFonts w:hint="eastAsia" w:ascii="微软雅黑" w:hAnsi="微软雅黑" w:eastAsia="微软雅黑" w:cs="微软雅黑"/>
                <w:color w:val="000000"/>
                <w:kern w:val="0"/>
                <w:sz w:val="18"/>
                <w:szCs w:val="18"/>
              </w:rPr>
              <w:t>24V</w:t>
            </w:r>
            <w:r>
              <w:rPr>
                <w:rFonts w:hint="eastAsia" w:ascii="微软雅黑" w:hAnsi="微软雅黑" w:eastAsia="微软雅黑" w:cs="微软雅黑"/>
                <w:color w:val="000000"/>
                <w:kern w:val="0"/>
                <w:sz w:val="18"/>
                <w:szCs w:val="18"/>
              </w:rPr>
              <w:t>特低电压；金属容器内、特别潮湿处等特别危险环境中使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用的手持照明灯应采用</w:t>
            </w:r>
            <w:r>
              <w:rPr>
                <w:rFonts w:hint="eastAsia" w:ascii="微软雅黑" w:hAnsi="微软雅黑" w:eastAsia="微软雅黑" w:cs="微软雅黑"/>
                <w:color w:val="000000"/>
                <w:kern w:val="0"/>
                <w:sz w:val="18"/>
                <w:szCs w:val="18"/>
              </w:rPr>
              <w:t>12V</w:t>
            </w:r>
            <w:r>
              <w:rPr>
                <w:rFonts w:hint="eastAsia" w:ascii="微软雅黑" w:hAnsi="微软雅黑" w:eastAsia="微软雅黑" w:cs="微软雅黑"/>
                <w:color w:val="000000"/>
                <w:kern w:val="0"/>
                <w:sz w:val="18"/>
                <w:szCs w:val="18"/>
              </w:rPr>
              <w:t>特低电压；水下作业等场所应采用</w:t>
            </w:r>
            <w:r>
              <w:rPr>
                <w:rFonts w:hint="eastAsia" w:ascii="微软雅黑" w:hAnsi="微软雅黑" w:eastAsia="微软雅黑" w:cs="微软雅黑"/>
                <w:color w:val="000000"/>
                <w:kern w:val="0"/>
                <w:sz w:val="18"/>
                <w:szCs w:val="18"/>
              </w:rPr>
              <w:t>6V</w:t>
            </w:r>
            <w:r>
              <w:rPr>
                <w:rFonts w:hint="eastAsia" w:ascii="微软雅黑" w:hAnsi="微软雅黑" w:eastAsia="微软雅黑" w:cs="微软雅黑"/>
                <w:color w:val="000000"/>
                <w:kern w:val="0"/>
                <w:sz w:val="18"/>
                <w:szCs w:val="18"/>
              </w:rPr>
              <w:t>特低电压</w:t>
            </w:r>
          </w:p>
        </w:tc>
      </w:tr>
      <w:tr>
        <w:tblPrEx>
          <w:tblLayout w:type="fixed"/>
          <w:tblCellMar>
            <w:top w:w="0" w:type="dxa"/>
            <w:left w:w="0" w:type="dxa"/>
            <w:bottom w:w="0" w:type="dxa"/>
            <w:right w:w="0" w:type="dxa"/>
          </w:tblCellMar>
        </w:tblPrEx>
        <w:trPr>
          <w:trHeight w:val="1598" w:hRule="atLeast"/>
        </w:trPr>
        <w:tc>
          <w:tcPr>
            <w:tcW w:w="1588" w:type="dxa"/>
            <w:gridSpan w:val="3"/>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剩余电流动作保护</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剩余电流动作保护装置的主要功能是提供间接接触电击保护，而额定漏电动作电流不大于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30mA</w:t>
            </w:r>
            <w:r>
              <w:rPr>
                <w:rFonts w:hint="eastAsia" w:ascii="微软雅黑" w:hAnsi="微软雅黑" w:eastAsia="微软雅黑" w:cs="微软雅黑"/>
                <w:color w:val="000000"/>
                <w:kern w:val="0"/>
                <w:sz w:val="18"/>
                <w:szCs w:val="18"/>
              </w:rPr>
              <w:t>的剩余电流动作保护装置，在其他保护措施失效时，也可作为直接接触电击的补充保护，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但不能作为基本的保护措施。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在直接接触电击事故防护中，剩余电流保护装置只作为直接接触电击事故基本防护措施的补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充保护措施。从剩余电流动作保护的机理可知，其保护并不包括对相与相、相与</w:t>
            </w:r>
            <w:r>
              <w:rPr>
                <w:rFonts w:hint="eastAsia" w:ascii="微软雅黑" w:hAnsi="微软雅黑" w:eastAsia="微软雅黑" w:cs="微软雅黑"/>
                <w:color w:val="000000"/>
                <w:kern w:val="0"/>
                <w:sz w:val="18"/>
                <w:szCs w:val="18"/>
              </w:rPr>
              <w:t>N</w:t>
            </w:r>
            <w:r>
              <w:rPr>
                <w:rFonts w:hint="eastAsia" w:ascii="微软雅黑" w:hAnsi="微软雅黑" w:eastAsia="微软雅黑" w:cs="微软雅黑"/>
                <w:color w:val="000000"/>
                <w:kern w:val="0"/>
                <w:sz w:val="18"/>
                <w:szCs w:val="18"/>
              </w:rPr>
              <w:t>线间形成的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直接接触电击事故的防护</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考点九</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电气防火防爆技术(表2—9)</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表2．9电气防火防爆技术</w:t>
      </w:r>
    </w:p>
    <w:tbl>
      <w:tblPr>
        <w:tblStyle w:val="4"/>
        <w:tblW w:w="8419" w:type="dxa"/>
        <w:tblInd w:w="15" w:type="dxa"/>
        <w:tblLayout w:type="fixed"/>
        <w:tblCellMar>
          <w:top w:w="0" w:type="dxa"/>
          <w:left w:w="0" w:type="dxa"/>
          <w:bottom w:w="0" w:type="dxa"/>
          <w:right w:w="0" w:type="dxa"/>
        </w:tblCellMar>
      </w:tblPr>
      <w:tblGrid>
        <w:gridCol w:w="388"/>
        <w:gridCol w:w="1200"/>
        <w:gridCol w:w="6831"/>
      </w:tblGrid>
      <w:tr>
        <w:tblPrEx>
          <w:tblLayout w:type="fixed"/>
          <w:tblCellMar>
            <w:top w:w="0" w:type="dxa"/>
            <w:left w:w="0" w:type="dxa"/>
            <w:bottom w:w="0" w:type="dxa"/>
            <w:right w:w="0" w:type="dxa"/>
          </w:tblCellMar>
        </w:tblPrEx>
        <w:trPr>
          <w:trHeight w:val="302"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603" w:hRule="atLeast"/>
        </w:trPr>
        <w:tc>
          <w:tcPr>
            <w:tcW w:w="388" w:type="dxa"/>
            <w:vMerge w:val="restart"/>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20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爆炸性气体环境</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危险场所分区</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爆炸性气体环境应根据爆炸性气体混合物出现的频繁程度和持续时间分为</w:t>
            </w:r>
            <w:r>
              <w:rPr>
                <w:rFonts w:hint="eastAsia" w:ascii="微软雅黑" w:hAnsi="微软雅黑" w:eastAsia="微软雅黑" w:cs="微软雅黑"/>
                <w:color w:val="000000"/>
                <w:kern w:val="0"/>
                <w:sz w:val="18"/>
                <w:szCs w:val="18"/>
              </w:rPr>
              <w:t>0</w:t>
            </w:r>
            <w:r>
              <w:rPr>
                <w:rFonts w:hint="eastAsia" w:ascii="微软雅黑" w:hAnsi="微软雅黑" w:eastAsia="微软雅黑" w:cs="微软雅黑"/>
                <w:color w:val="000000"/>
                <w:kern w:val="0"/>
                <w:sz w:val="18"/>
                <w:szCs w:val="18"/>
              </w:rPr>
              <w:t>区、</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区、</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分区应符合下列规定：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区应为连续出现或长期出现爆炸性气体混合物的环境。</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(2)1</w:t>
            </w:r>
            <w:r>
              <w:rPr>
                <w:rFonts w:hint="eastAsia" w:ascii="微软雅黑" w:hAnsi="微软雅黑" w:eastAsia="微软雅黑" w:cs="微软雅黑"/>
                <w:color w:val="000000"/>
                <w:kern w:val="0"/>
                <w:sz w:val="18"/>
                <w:szCs w:val="18"/>
              </w:rPr>
              <w:t>区应为在正常运行时可能出现爆炸性气体混合物的环境。</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(3)2</w:t>
            </w:r>
            <w:r>
              <w:rPr>
                <w:rFonts w:hint="eastAsia" w:ascii="微软雅黑" w:hAnsi="微软雅黑" w:eastAsia="微软雅黑" w:cs="微软雅黑"/>
                <w:color w:val="000000"/>
                <w:kern w:val="0"/>
                <w:sz w:val="18"/>
                <w:szCs w:val="18"/>
              </w:rPr>
              <w:t>区应为在正常运行时不太可能出现爆炸性气体混合物的环境，或即使出现也仅是短时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存在的爆炸性气体混合物的环境</w:t>
            </w:r>
          </w:p>
        </w:tc>
      </w:tr>
      <w:tr>
        <w:tblPrEx>
          <w:tblLayout w:type="fixed"/>
          <w:tblCellMar>
            <w:top w:w="0" w:type="dxa"/>
            <w:left w:w="0" w:type="dxa"/>
            <w:bottom w:w="0" w:type="dxa"/>
            <w:right w:w="0" w:type="dxa"/>
          </w:tblCellMar>
        </w:tblPrEx>
        <w:trPr>
          <w:trHeight w:val="321" w:hRule="atLeast"/>
        </w:trPr>
        <w:tc>
          <w:tcPr>
            <w:tcW w:w="388"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20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释放源的等级</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连续级释放源、一级释放源、二级释放源</w:t>
            </w:r>
          </w:p>
        </w:tc>
      </w:tr>
      <w:tr>
        <w:tblPrEx>
          <w:tblLayout w:type="fixed"/>
          <w:tblCellMar>
            <w:top w:w="0" w:type="dxa"/>
            <w:left w:w="0" w:type="dxa"/>
            <w:bottom w:w="0" w:type="dxa"/>
            <w:right w:w="0" w:type="dxa"/>
          </w:tblCellMar>
        </w:tblPrEx>
        <w:trPr>
          <w:trHeight w:val="2241" w:hRule="atLeast"/>
        </w:trPr>
        <w:tc>
          <w:tcPr>
            <w:tcW w:w="388"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炸</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性</w:t>
            </w:r>
          </w:p>
        </w:tc>
        <w:tc>
          <w:tcPr>
            <w:tcW w:w="120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爆炸性气体场所</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危险区域的划分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爆炸危险区域的划分应按释放源级别和通风条件确定，存在连续级释放源的区域可划为</w:t>
            </w:r>
            <w:r>
              <w:rPr>
                <w:rFonts w:hint="eastAsia" w:ascii="微软雅黑" w:hAnsi="微软雅黑" w:eastAsia="微软雅黑" w:cs="微软雅黑"/>
                <w:color w:val="000000"/>
                <w:kern w:val="0"/>
                <w:sz w:val="18"/>
                <w:szCs w:val="18"/>
              </w:rPr>
              <w:t>0</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区，存在一级释放源的区域可划为</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区，存在二级释放源的区域可划为</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区，并应根据通风条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件按下列规定调整区域划分：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当通风良好时，可降低爆炸危险区域等级；当通风不良时，应提高爆炸危险区域等级。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局部机械通风在降低爆炸性气体混合物浓度方面比自然通风和一般机械通风更为有效</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时，可采用局部机械通风降低爆炸危险区域等级。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在障碍物、凹坑和死角处．应局部提高爆炸危险区域等级。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利用堤或墙等障碍物，限制比空气重的爆炸性气体混合物的扩散，可缩小爆炸危险区域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的范围</w:t>
            </w:r>
          </w:p>
        </w:tc>
      </w:tr>
      <w:tr>
        <w:tblPrEx>
          <w:tblLayout w:type="fixed"/>
          <w:tblCellMar>
            <w:top w:w="0" w:type="dxa"/>
            <w:left w:w="0" w:type="dxa"/>
            <w:bottom w:w="0" w:type="dxa"/>
            <w:right w:w="0" w:type="dxa"/>
          </w:tblCellMar>
        </w:tblPrEx>
        <w:trPr>
          <w:trHeight w:val="4324" w:hRule="atLeast"/>
        </w:trPr>
        <w:tc>
          <w:tcPr>
            <w:tcW w:w="388"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气</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体</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环</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境</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20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爆炸性气体环境</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危险区域的范围</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爆炸危险区域的范围应根据释放源的级别和位置、可燃物质的性质、通风条件、障碍物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及生产条件、运行经验，经技术经济比较综合确定。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建筑物内部宜以厂房为单位划定爆炸危险区域的范围。当厂房内空间大时，应根据生产</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的具体情况划分，释放源释放的可燃物质量少时，可将厂房内部按空间划定爆炸危险的区域范</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围，并应符合下列规定：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当厂房内具有比空气重的可燃物质时，厂房内通风换气次数不应少于每小时两次，且换</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气不受阻碍，厂房地面上高度</w:t>
            </w:r>
            <w:r>
              <w:rPr>
                <w:rFonts w:hint="eastAsia" w:ascii="微软雅黑" w:hAnsi="微软雅黑" w:eastAsia="微软雅黑" w:cs="微软雅黑"/>
                <w:color w:val="000000"/>
                <w:kern w:val="0"/>
                <w:sz w:val="18"/>
                <w:szCs w:val="18"/>
              </w:rPr>
              <w:t>1m</w:t>
            </w:r>
            <w:r>
              <w:rPr>
                <w:rFonts w:hint="eastAsia" w:ascii="微软雅黑" w:hAnsi="微软雅黑" w:eastAsia="微软雅黑" w:cs="微软雅黑"/>
                <w:color w:val="000000"/>
                <w:kern w:val="0"/>
                <w:sz w:val="18"/>
                <w:szCs w:val="18"/>
              </w:rPr>
              <w:t>以内容积的空气与释放至厂房内的可燃物质所形成的爆炸性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气体混合浓度应小于爆炸下限。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当厂房内具有比空气轻的可燃物质时，厂房平屋顶平面以下</w:t>
            </w:r>
            <w:r>
              <w:rPr>
                <w:rFonts w:hint="eastAsia" w:ascii="微软雅黑" w:hAnsi="微软雅黑" w:eastAsia="微软雅黑" w:cs="微软雅黑"/>
                <w:color w:val="000000"/>
                <w:kern w:val="0"/>
                <w:sz w:val="18"/>
                <w:szCs w:val="18"/>
              </w:rPr>
              <w:t>1m</w:t>
            </w:r>
            <w:r>
              <w:rPr>
                <w:rFonts w:hint="eastAsia" w:ascii="微软雅黑" w:hAnsi="微软雅黑" w:eastAsia="微软雅黑" w:cs="微软雅黑"/>
                <w:color w:val="000000"/>
                <w:kern w:val="0"/>
                <w:sz w:val="18"/>
                <w:szCs w:val="18"/>
              </w:rPr>
              <w:t>高度内，或圆顶、斜顶的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最高点以下</w:t>
            </w:r>
            <w:r>
              <w:rPr>
                <w:rFonts w:hint="eastAsia" w:ascii="微软雅黑" w:hAnsi="微软雅黑" w:eastAsia="微软雅黑" w:cs="微软雅黑"/>
                <w:color w:val="000000"/>
                <w:kern w:val="0"/>
                <w:sz w:val="18"/>
                <w:szCs w:val="18"/>
              </w:rPr>
              <w:t>2m</w:t>
            </w:r>
            <w:r>
              <w:rPr>
                <w:rFonts w:hint="eastAsia" w:ascii="微软雅黑" w:hAnsi="微软雅黑" w:eastAsia="微软雅黑" w:cs="微软雅黑"/>
                <w:color w:val="000000"/>
                <w:kern w:val="0"/>
                <w:sz w:val="18"/>
                <w:szCs w:val="18"/>
              </w:rPr>
              <w:t>高度内的容积的空气与释放至厂房内的可燃物质所形成的爆炸性气体混合物的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浓度应小于爆炸下限。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释放至厂房内的可燃物质的最大量应按一小时释放量的三倍计算，但不包括由于灾难性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事故引起破裂时的释放量。</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当高挥发性液体可能大量释放并扩散到</w:t>
            </w:r>
            <w:r>
              <w:rPr>
                <w:rFonts w:hint="eastAsia" w:ascii="微软雅黑" w:hAnsi="微软雅黑" w:eastAsia="微软雅黑" w:cs="微软雅黑"/>
                <w:color w:val="000000"/>
                <w:kern w:val="0"/>
                <w:sz w:val="18"/>
                <w:szCs w:val="18"/>
              </w:rPr>
              <w:t>15m</w:t>
            </w:r>
            <w:r>
              <w:rPr>
                <w:rFonts w:hint="eastAsia" w:ascii="微软雅黑" w:hAnsi="微软雅黑" w:eastAsia="微软雅黑" w:cs="微软雅黑"/>
                <w:color w:val="000000"/>
                <w:kern w:val="0"/>
                <w:sz w:val="18"/>
                <w:szCs w:val="18"/>
              </w:rPr>
              <w:t>以外时．爆炸危险区域的范围应划分为附加</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当可燃液体闪点高于或等于</w:t>
            </w:r>
            <w:r>
              <w:rPr>
                <w:rFonts w:hint="eastAsia" w:ascii="微软雅黑" w:hAnsi="微软雅黑" w:eastAsia="微软雅黑" w:cs="微软雅黑"/>
                <w:color w:val="000000"/>
                <w:kern w:val="0"/>
                <w:sz w:val="18"/>
                <w:szCs w:val="18"/>
              </w:rPr>
              <w:t>60</w:t>
            </w:r>
            <w:r>
              <w:rPr>
                <w:rFonts w:hint="eastAsia" w:ascii="微软雅黑" w:hAnsi="微软雅黑" w:eastAsia="微软雅黑" w:cs="微软雅黑"/>
                <w:color w:val="000000"/>
                <w:kern w:val="0"/>
                <w:sz w:val="18"/>
                <w:szCs w:val="18"/>
              </w:rPr>
              <w:t>％时，在物料操作温度高于可燃液体闪点的情况下，可燃</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液体可能泄漏时，其爆炸危险区域的范围宜适当缩小，但不宜小于</w:t>
            </w:r>
            <w:r>
              <w:rPr>
                <w:rFonts w:hint="eastAsia" w:ascii="微软雅黑" w:hAnsi="微软雅黑" w:eastAsia="微软雅黑" w:cs="微软雅黑"/>
                <w:color w:val="000000"/>
                <w:kern w:val="0"/>
                <w:sz w:val="18"/>
                <w:szCs w:val="18"/>
              </w:rPr>
              <w:t>4.5m</w:t>
            </w:r>
          </w:p>
        </w:tc>
      </w:tr>
      <w:tr>
        <w:tblPrEx>
          <w:tblLayout w:type="fixed"/>
          <w:tblCellMar>
            <w:top w:w="0" w:type="dxa"/>
            <w:left w:w="0" w:type="dxa"/>
            <w:bottom w:w="0" w:type="dxa"/>
            <w:right w:w="0" w:type="dxa"/>
          </w:tblCellMar>
        </w:tblPrEx>
        <w:trPr>
          <w:trHeight w:val="556" w:hRule="atLeast"/>
        </w:trPr>
        <w:tc>
          <w:tcPr>
            <w:tcW w:w="158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爆炸性粉尘环境</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爆炸粉尘环境危险区域应根据爆炸性粉尘环境出现的频繁程度和持续时间分为</w:t>
            </w:r>
            <w:r>
              <w:rPr>
                <w:rFonts w:hint="eastAsia" w:ascii="微软雅黑" w:hAnsi="微软雅黑" w:eastAsia="微软雅黑" w:cs="微软雅黑"/>
                <w:color w:val="000000"/>
                <w:kern w:val="0"/>
                <w:sz w:val="18"/>
                <w:szCs w:val="18"/>
              </w:rPr>
              <w:t>20</w:t>
            </w:r>
            <w:r>
              <w:rPr>
                <w:rFonts w:hint="eastAsia" w:ascii="微软雅黑" w:hAnsi="微软雅黑" w:eastAsia="微软雅黑" w:cs="微软雅黑"/>
                <w:color w:val="000000"/>
                <w:kern w:val="0"/>
                <w:sz w:val="18"/>
                <w:szCs w:val="18"/>
              </w:rPr>
              <w:t>区、</w:t>
            </w:r>
            <w:r>
              <w:rPr>
                <w:rFonts w:hint="eastAsia" w:ascii="微软雅黑" w:hAnsi="微软雅黑" w:eastAsia="微软雅黑" w:cs="微软雅黑"/>
                <w:color w:val="000000"/>
                <w:kern w:val="0"/>
                <w:sz w:val="18"/>
                <w:szCs w:val="18"/>
              </w:rPr>
              <w:t>21</w:t>
            </w:r>
            <w:r>
              <w:rPr>
                <w:rFonts w:hint="eastAsia" w:ascii="微软雅黑" w:hAnsi="微软雅黑" w:eastAsia="微软雅黑" w:cs="微软雅黑"/>
                <w:color w:val="000000"/>
                <w:kern w:val="0"/>
                <w:sz w:val="18"/>
                <w:szCs w:val="18"/>
              </w:rPr>
              <w:t>区、</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22</w:t>
            </w:r>
            <w:r>
              <w:rPr>
                <w:rFonts w:hint="eastAsia" w:ascii="微软雅黑" w:hAnsi="微软雅黑" w:eastAsia="微软雅黑" w:cs="微软雅黑"/>
                <w:color w:val="000000"/>
                <w:kern w:val="0"/>
                <w:sz w:val="18"/>
                <w:szCs w:val="18"/>
              </w:rPr>
              <w:t>区</w:t>
            </w:r>
          </w:p>
        </w:tc>
      </w:tr>
    </w:tbl>
    <w:p>
      <w:pPr>
        <w:widowControl/>
        <w:jc w:val="left"/>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防雷措施(表2</w:t>
      </w:r>
      <w:r>
        <w:rPr>
          <w:rFonts w:hint="eastAsia" w:ascii="微软雅黑" w:hAnsi="微软雅黑" w:eastAsia="微软雅黑" w:cs="微软雅黑"/>
          <w:color w:val="000000"/>
          <w:sz w:val="18"/>
          <w:szCs w:val="18"/>
        </w:rPr>
        <w:t>-</w:t>
      </w:r>
      <w:r>
        <w:rPr>
          <w:rFonts w:hint="eastAsia" w:ascii="微软雅黑" w:hAnsi="微软雅黑" w:eastAsia="微软雅黑" w:cs="微软雅黑"/>
          <w:color w:val="000000"/>
          <w:sz w:val="18"/>
          <w:szCs w:val="18"/>
        </w:rPr>
        <w:t>10)</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表2—10防雷措施</w:t>
      </w:r>
    </w:p>
    <w:tbl>
      <w:tblPr>
        <w:tblStyle w:val="4"/>
        <w:tblW w:w="8419" w:type="dxa"/>
        <w:tblInd w:w="15" w:type="dxa"/>
        <w:tblLayout w:type="fixed"/>
        <w:tblCellMar>
          <w:top w:w="0" w:type="dxa"/>
          <w:left w:w="0" w:type="dxa"/>
          <w:bottom w:w="0" w:type="dxa"/>
          <w:right w:w="0" w:type="dxa"/>
        </w:tblCellMar>
      </w:tblPr>
      <w:tblGrid>
        <w:gridCol w:w="312"/>
        <w:gridCol w:w="556"/>
        <w:gridCol w:w="720"/>
        <w:gridCol w:w="6831"/>
      </w:tblGrid>
      <w:tr>
        <w:tblPrEx>
          <w:tblLayout w:type="fixed"/>
          <w:tblCellMar>
            <w:top w:w="0" w:type="dxa"/>
            <w:left w:w="0" w:type="dxa"/>
            <w:bottom w:w="0" w:type="dxa"/>
            <w:right w:w="0" w:type="dxa"/>
          </w:tblCellMar>
        </w:tblPrEx>
        <w:trPr>
          <w:trHeight w:val="302" w:hRule="atLeast"/>
        </w:trPr>
        <w:tc>
          <w:tcPr>
            <w:tcW w:w="1588"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801" w:hRule="atLeast"/>
        </w:trPr>
        <w:tc>
          <w:tcPr>
            <w:tcW w:w="1588" w:type="dxa"/>
            <w:gridSpan w:val="3"/>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建筑物防雷的分类</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第一类防雷建筑物。例如，火药制造车间、乙炔站、电石库、汽油提炼车间等。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第二类防雷建筑物。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第三类防雷建筑物</w:t>
            </w:r>
          </w:p>
        </w:tc>
      </w:tr>
      <w:tr>
        <w:tblPrEx>
          <w:tblLayout w:type="fixed"/>
          <w:tblCellMar>
            <w:top w:w="0" w:type="dxa"/>
            <w:left w:w="0" w:type="dxa"/>
            <w:bottom w:w="0" w:type="dxa"/>
            <w:right w:w="0" w:type="dxa"/>
          </w:tblCellMar>
        </w:tblPrEx>
        <w:trPr>
          <w:trHeight w:val="321" w:hRule="atLeast"/>
        </w:trPr>
        <w:tc>
          <w:tcPr>
            <w:tcW w:w="1588" w:type="dxa"/>
            <w:gridSpan w:val="3"/>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防雷技术分类</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防雷主要分为外部防雷和内部防雷以及防雷击电磁脉冲</w:t>
            </w:r>
          </w:p>
        </w:tc>
      </w:tr>
      <w:tr>
        <w:tblPrEx>
          <w:tblLayout w:type="fixed"/>
          <w:tblCellMar>
            <w:top w:w="0" w:type="dxa"/>
            <w:left w:w="0" w:type="dxa"/>
            <w:bottom w:w="0" w:type="dxa"/>
            <w:right w:w="0" w:type="dxa"/>
          </w:tblCellMar>
        </w:tblPrEx>
        <w:trPr>
          <w:trHeight w:val="643" w:hRule="atLeast"/>
        </w:trPr>
        <w:tc>
          <w:tcPr>
            <w:tcW w:w="312" w:type="dxa"/>
            <w:vMerge w:val="restart"/>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556" w:type="dxa"/>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外部</w:t>
            </w:r>
          </w:p>
          <w:p>
            <w:pPr>
              <w:autoSpaceDE w:val="0"/>
              <w:autoSpaceDN w:val="0"/>
              <w:rPr>
                <w:rFonts w:hint="eastAsia" w:ascii="微软雅黑" w:hAnsi="微软雅黑" w:eastAsia="微软雅黑" w:cs="微软雅黑"/>
                <w:color w:val="000000"/>
                <w:kern w:val="0"/>
                <w:sz w:val="18"/>
                <w:szCs w:val="18"/>
              </w:rPr>
            </w:pPr>
          </w:p>
        </w:tc>
        <w:tc>
          <w:tcPr>
            <w:tcW w:w="72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接闪器</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接闪杆</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以前称为避雷针</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、接闪带</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以前称为避雷带</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、接闪线</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以前称为避雷线</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、接闪</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网</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以前称为避雷网</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以及金属屋面、金属构件等均为常用的接闪器</w:t>
            </w:r>
          </w:p>
        </w:tc>
      </w:tr>
      <w:tr>
        <w:tblPrEx>
          <w:tblLayout w:type="fixed"/>
          <w:tblCellMar>
            <w:top w:w="0" w:type="dxa"/>
            <w:left w:w="0" w:type="dxa"/>
            <w:bottom w:w="0" w:type="dxa"/>
            <w:right w:w="0" w:type="dxa"/>
          </w:tblCellMar>
        </w:tblPrEx>
        <w:trPr>
          <w:trHeight w:val="326" w:hRule="atLeast"/>
        </w:trPr>
        <w:tc>
          <w:tcPr>
            <w:tcW w:w="312"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556" w:type="dxa"/>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防雷</w:t>
            </w:r>
          </w:p>
          <w:p>
            <w:pPr>
              <w:autoSpaceDE w:val="0"/>
              <w:autoSpaceDN w:val="0"/>
              <w:rPr>
                <w:rFonts w:hint="eastAsia" w:ascii="微软雅黑" w:hAnsi="微软雅黑" w:eastAsia="微软雅黑" w:cs="微软雅黑"/>
                <w:color w:val="000000"/>
                <w:kern w:val="0"/>
                <w:sz w:val="18"/>
                <w:szCs w:val="18"/>
              </w:rPr>
            </w:pPr>
          </w:p>
        </w:tc>
        <w:tc>
          <w:tcPr>
            <w:tcW w:w="72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引下线</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是连接接闪器与接地装置的圆钢或扁钢等金属导体，用于将雷电流从接闪器传导至接地装置</w:t>
            </w:r>
          </w:p>
        </w:tc>
      </w:tr>
      <w:tr>
        <w:tblPrEx>
          <w:tblLayout w:type="fixed"/>
          <w:tblCellMar>
            <w:top w:w="0" w:type="dxa"/>
            <w:left w:w="0" w:type="dxa"/>
            <w:bottom w:w="0" w:type="dxa"/>
            <w:right w:w="0" w:type="dxa"/>
          </w:tblCellMar>
        </w:tblPrEx>
        <w:trPr>
          <w:trHeight w:val="316" w:hRule="atLeast"/>
        </w:trPr>
        <w:tc>
          <w:tcPr>
            <w:tcW w:w="312"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雷</w:t>
            </w:r>
          </w:p>
        </w:tc>
        <w:tc>
          <w:tcPr>
            <w:tcW w:w="556" w:type="dxa"/>
            <w:tcBorders>
              <w:top w:val="nil"/>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装置</w:t>
            </w:r>
          </w:p>
          <w:p>
            <w:pPr>
              <w:autoSpaceDE w:val="0"/>
              <w:autoSpaceDN w:val="0"/>
              <w:rPr>
                <w:rFonts w:hint="eastAsia" w:ascii="微软雅黑" w:hAnsi="微软雅黑" w:eastAsia="微软雅黑" w:cs="微软雅黑"/>
                <w:color w:val="000000"/>
                <w:kern w:val="0"/>
                <w:sz w:val="18"/>
                <w:szCs w:val="18"/>
              </w:rPr>
            </w:pPr>
          </w:p>
        </w:tc>
        <w:tc>
          <w:tcPr>
            <w:tcW w:w="72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接地装置</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是接地体和接地线的总和，用于传导雷电流并将其流散人大地</w:t>
            </w:r>
          </w:p>
        </w:tc>
      </w:tr>
      <w:tr>
        <w:tblPrEx>
          <w:tblLayout w:type="fixed"/>
          <w:tblCellMar>
            <w:top w:w="0" w:type="dxa"/>
            <w:left w:w="0" w:type="dxa"/>
            <w:bottom w:w="0" w:type="dxa"/>
            <w:right w:w="0" w:type="dxa"/>
          </w:tblCellMar>
        </w:tblPrEx>
        <w:trPr>
          <w:trHeight w:val="1272" w:hRule="atLeast"/>
        </w:trPr>
        <w:tc>
          <w:tcPr>
            <w:tcW w:w="312"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置</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276"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内部防雷装置</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由屏蔽导体、等电位连接件、电涌保护器和避雷器等组成。避雷器是用来防护雷电产生的过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电压沿线路侵入变配电所或建筑物内，以免危及被保护电气设备的绝缘。按其结构，避雷器主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要分为阀型避雷器和氧化锌避雷器等。阀型避雷器上端接在架空线路上，下端接地。正常时，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避雷器对地保持绝缘状态；当雷电冲击波到来时，避雷器被击穿，将雷电引人大地；冲击波过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去后，避雷器自动恢复绝缘状态</w:t>
            </w:r>
          </w:p>
        </w:tc>
      </w:tr>
      <w:tr>
        <w:tblPrEx>
          <w:tblLayout w:type="fixed"/>
          <w:tblCellMar>
            <w:top w:w="0" w:type="dxa"/>
            <w:left w:w="0" w:type="dxa"/>
            <w:bottom w:w="0" w:type="dxa"/>
            <w:right w:w="0" w:type="dxa"/>
          </w:tblCellMar>
        </w:tblPrEx>
        <w:trPr>
          <w:trHeight w:val="638" w:hRule="atLeast"/>
        </w:trPr>
        <w:tc>
          <w:tcPr>
            <w:tcW w:w="1588" w:type="dxa"/>
            <w:gridSpan w:val="3"/>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防雷措施</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根据不同雷电种类，各类防雷建筑物所应采取的主要防雷措施要求如下：直击雷防护</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主要</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措施是装设接闪杆、架空接闪线或网</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；闪电感应防护；闪电电涌侵入防护；人身防雷</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考点十一</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静电防护(表2—11)</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表2—11静电防护</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2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环境危险程度的控制</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取代易燃介质；降低爆炸性气体、蒸气混合物的浓度；减少氧化剂含量</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工艺控制</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工艺控制是消除静电危害的重要方法。主要是从工艺上采取适当的措施，限制和避免静电的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产生和累积</w:t>
            </w:r>
          </w:p>
        </w:tc>
      </w:tr>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67"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静电接地</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在静电危险场所，所有属于静电导体的物体必须接地。汽车槽车、铁路槽车在装油之前，应</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与储油设备跨接并接地；装、卸完毕先拆除油管，后拆除跨接线和接地线</w:t>
            </w:r>
          </w:p>
        </w:tc>
      </w:tr>
      <w:tr>
        <w:tblPrEx>
          <w:tblLayout w:type="fixed"/>
          <w:tblCellMar>
            <w:top w:w="0" w:type="dxa"/>
            <w:left w:w="0" w:type="dxa"/>
            <w:bottom w:w="0" w:type="dxa"/>
            <w:right w:w="0" w:type="dxa"/>
          </w:tblCellMar>
        </w:tblPrEx>
        <w:trPr>
          <w:trHeight w:val="360"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增湿</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局部环境的相对湿度宜增加至</w:t>
            </w:r>
            <w:r>
              <w:rPr>
                <w:rFonts w:hint="eastAsia" w:ascii="微软雅黑" w:hAnsi="微软雅黑" w:eastAsia="微软雅黑" w:cs="微软雅黑"/>
                <w:color w:val="000000"/>
                <w:kern w:val="0"/>
                <w:sz w:val="18"/>
                <w:szCs w:val="18"/>
              </w:rPr>
              <w:t>50</w:t>
            </w:r>
            <w:r>
              <w:rPr>
                <w:rFonts w:hint="eastAsia" w:ascii="微软雅黑" w:hAnsi="微软雅黑" w:eastAsia="微软雅黑" w:cs="微软雅黑"/>
                <w:color w:val="000000"/>
                <w:kern w:val="0"/>
                <w:sz w:val="18"/>
                <w:szCs w:val="18"/>
              </w:rPr>
              <w:t>％以上</w:t>
            </w:r>
          </w:p>
        </w:tc>
      </w:tr>
      <w:tr>
        <w:tblPrEx>
          <w:tblLayout w:type="fixed"/>
          <w:tblCellMar>
            <w:top w:w="0" w:type="dxa"/>
            <w:left w:w="0" w:type="dxa"/>
            <w:bottom w:w="0" w:type="dxa"/>
            <w:right w:w="0" w:type="dxa"/>
          </w:tblCellMar>
        </w:tblPrEx>
        <w:trPr>
          <w:trHeight w:val="360"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抗静电添加剂</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加入抗静电添加剂之后，材料能降低体积电阻率或表面电阻率</w:t>
            </w:r>
          </w:p>
        </w:tc>
      </w:tr>
      <w:tr>
        <w:tblPrEx>
          <w:tblLayout w:type="fixed"/>
          <w:tblCellMar>
            <w:top w:w="0" w:type="dxa"/>
            <w:left w:w="0" w:type="dxa"/>
            <w:bottom w:w="0" w:type="dxa"/>
            <w:right w:w="0" w:type="dxa"/>
          </w:tblCellMar>
        </w:tblPrEx>
        <w:trPr>
          <w:trHeight w:val="67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静电中和器</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使用静电中和器，让与带电物体上静电荷极性相反的离子去中和带电物体上的静电，以减少</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物体上的带电量</w:t>
            </w:r>
          </w:p>
        </w:tc>
      </w:tr>
      <w:tr>
        <w:tblPrEx>
          <w:tblLayout w:type="fixed"/>
          <w:tblCellMar>
            <w:top w:w="0" w:type="dxa"/>
            <w:left w:w="0" w:type="dxa"/>
            <w:bottom w:w="0" w:type="dxa"/>
            <w:right w:w="0" w:type="dxa"/>
          </w:tblCellMar>
        </w:tblPrEx>
        <w:trPr>
          <w:trHeight w:val="681"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作业人员防护</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在气体爆炸危险场所的等级属。区及</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区时，作业人员应穿防静电工作服，防静电工作鞋、</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袜，佩戴防静电手套</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考点十二</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电气装置安全技术(表2—12)</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2—12电气装置安全技术</w:t>
      </w:r>
    </w:p>
    <w:tbl>
      <w:tblPr>
        <w:tblStyle w:val="4"/>
        <w:tblW w:w="8428" w:type="dxa"/>
        <w:tblInd w:w="15" w:type="dxa"/>
        <w:tblLayout w:type="fixed"/>
        <w:tblCellMar>
          <w:top w:w="0" w:type="dxa"/>
          <w:left w:w="0" w:type="dxa"/>
          <w:bottom w:w="0" w:type="dxa"/>
          <w:right w:w="0" w:type="dxa"/>
        </w:tblCellMar>
      </w:tblPr>
      <w:tblGrid>
        <w:gridCol w:w="475"/>
        <w:gridCol w:w="1113"/>
        <w:gridCol w:w="6840"/>
      </w:tblGrid>
      <w:tr>
        <w:tblPrEx>
          <w:tblLayout w:type="fixed"/>
          <w:tblCellMar>
            <w:top w:w="0" w:type="dxa"/>
            <w:left w:w="0" w:type="dxa"/>
            <w:bottom w:w="0" w:type="dxa"/>
            <w:right w:w="0" w:type="dxa"/>
          </w:tblCellMar>
        </w:tblPrEx>
        <w:trPr>
          <w:trHeight w:val="292"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4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796" w:hRule="atLeast"/>
        </w:trPr>
        <w:tc>
          <w:tcPr>
            <w:tcW w:w="47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主要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变配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电设</w:t>
            </w: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高压断路器</w:t>
            </w: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高压断路器是高压开关设备中最重要、最复杂的开关设备。高压断路器有强力灭弧装置，既</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能在正常情况下接通和分断负荷电流，又能借助继电保护装置在故障情况下切断过载电流和短</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路电流</w:t>
            </w:r>
          </w:p>
        </w:tc>
      </w:tr>
      <w:tr>
        <w:tblPrEx>
          <w:tblLayout w:type="fixed"/>
          <w:tblCellMar>
            <w:top w:w="0" w:type="dxa"/>
            <w:left w:w="0" w:type="dxa"/>
            <w:bottom w:w="0" w:type="dxa"/>
            <w:right w:w="0" w:type="dxa"/>
          </w:tblCellMar>
        </w:tblPrEx>
        <w:trPr>
          <w:trHeight w:val="316" w:hRule="atLeast"/>
        </w:trPr>
        <w:tc>
          <w:tcPr>
            <w:tcW w:w="47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备安</w:t>
            </w: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高压隔离开关</w:t>
            </w: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隔离开关主要用来隔断电源，以保证检修和倒闸操作的安全</w:t>
            </w:r>
          </w:p>
        </w:tc>
      </w:tr>
      <w:tr>
        <w:tblPrEx>
          <w:tblLayout w:type="fixed"/>
          <w:tblCellMar>
            <w:top w:w="0" w:type="dxa"/>
            <w:left w:w="0" w:type="dxa"/>
            <w:bottom w:w="0" w:type="dxa"/>
            <w:right w:w="0" w:type="dxa"/>
          </w:tblCellMar>
        </w:tblPrEx>
        <w:trPr>
          <w:trHeight w:val="316" w:hRule="atLeast"/>
        </w:trPr>
        <w:tc>
          <w:tcPr>
            <w:tcW w:w="475"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w:t>
            </w:r>
          </w:p>
          <w:p>
            <w:pPr>
              <w:autoSpaceDE w:val="0"/>
              <w:autoSpaceDN w:val="0"/>
              <w:rPr>
                <w:rFonts w:hint="eastAsia" w:ascii="微软雅黑" w:hAnsi="微软雅黑" w:eastAsia="微软雅黑" w:cs="微软雅黑"/>
                <w:color w:val="000000"/>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高压负荷开关</w:t>
            </w: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高压负荷开关有比较简单的灭弧装置，用来接通和断开负荷电流</w:t>
            </w:r>
          </w:p>
        </w:tc>
      </w:tr>
      <w:tr>
        <w:tblPrEx>
          <w:tblLayout w:type="fixed"/>
          <w:tblCellMar>
            <w:top w:w="0" w:type="dxa"/>
            <w:left w:w="0" w:type="dxa"/>
            <w:bottom w:w="0" w:type="dxa"/>
            <w:right w:w="0" w:type="dxa"/>
          </w:tblCellMar>
        </w:tblPrEx>
        <w:trPr>
          <w:trHeight w:val="633" w:hRule="atLeast"/>
        </w:trPr>
        <w:tc>
          <w:tcPr>
            <w:tcW w:w="47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电气设备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外壳防护</w:t>
            </w: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电气设备的外壳防护包括：固体异物进入壳内设备的防护、人体触及内部危险部件的防护、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水进入内部的防护</w:t>
            </w:r>
          </w:p>
        </w:tc>
      </w:tr>
      <w:tr>
        <w:tblPrEx>
          <w:tblLayout w:type="fixed"/>
          <w:tblCellMar>
            <w:top w:w="0" w:type="dxa"/>
            <w:left w:w="0" w:type="dxa"/>
            <w:bottom w:w="0" w:type="dxa"/>
            <w:right w:w="0" w:type="dxa"/>
          </w:tblCellMar>
        </w:tblPrEx>
        <w:trPr>
          <w:trHeight w:val="3206" w:hRule="atLeast"/>
        </w:trPr>
        <w:tc>
          <w:tcPr>
            <w:tcW w:w="475" w:type="dxa"/>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设备</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和低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压电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13"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手持电动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工具和移动式</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电气设备</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手持电动工具包括手电钻、手砂轮、冲击电钻、电锤、手电锯等工具。移动式设备包括蛙</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夯、振捣器、水磨石磨平机等电气设备，其安全使用条件如下：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Ⅱ类、Ⅲ类设备没有保护接地或保护接零的要求；</w:t>
            </w:r>
            <w:r>
              <w:rPr>
                <w:rFonts w:hint="eastAsia" w:ascii="微软雅黑" w:hAnsi="微软雅黑" w:eastAsia="微软雅黑" w:cs="微软雅黑"/>
                <w:color w:val="000000"/>
                <w:kern w:val="0"/>
                <w:sz w:val="18"/>
                <w:szCs w:val="18"/>
              </w:rPr>
              <w:t>I</w:t>
            </w:r>
            <w:r>
              <w:rPr>
                <w:rFonts w:hint="eastAsia" w:ascii="微软雅黑" w:hAnsi="微软雅黑" w:eastAsia="微软雅黑" w:cs="微软雅黑"/>
                <w:color w:val="000000"/>
                <w:kern w:val="0"/>
                <w:sz w:val="18"/>
                <w:szCs w:val="18"/>
              </w:rPr>
              <w:t>类设备必须采取保护接地或保护接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零措施。设备的保护线应接保护干线。</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移动式电气设备的保护零线</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或地线</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不应单独敷设，而应当与电源线采取同样的防护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措施。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移动式电气设备的电源插座和插销应有专用的接零</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地</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插孔和插头。</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一般场所，手持电动工具应采用Ⅱ类设备；如果使用</w:t>
            </w:r>
            <w:r>
              <w:rPr>
                <w:rFonts w:hint="eastAsia" w:ascii="微软雅黑" w:hAnsi="微软雅黑" w:eastAsia="微软雅黑" w:cs="微软雅黑"/>
                <w:color w:val="000000"/>
                <w:kern w:val="0"/>
                <w:sz w:val="18"/>
                <w:szCs w:val="18"/>
              </w:rPr>
              <w:t>I</w:t>
            </w:r>
            <w:r>
              <w:rPr>
                <w:rFonts w:hint="eastAsia" w:ascii="微软雅黑" w:hAnsi="微软雅黑" w:eastAsia="微软雅黑" w:cs="微软雅黑"/>
                <w:color w:val="000000"/>
                <w:kern w:val="0"/>
                <w:sz w:val="18"/>
                <w:szCs w:val="18"/>
              </w:rPr>
              <w:t>类工具，则应在电气线路中采用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额定剩余动作电流不大于</w:t>
            </w:r>
            <w:r>
              <w:rPr>
                <w:rFonts w:hint="eastAsia" w:ascii="微软雅黑" w:hAnsi="微软雅黑" w:eastAsia="微软雅黑" w:cs="微软雅黑"/>
                <w:color w:val="000000"/>
                <w:kern w:val="0"/>
                <w:sz w:val="18"/>
                <w:szCs w:val="18"/>
              </w:rPr>
              <w:t>30mA</w:t>
            </w:r>
            <w:r>
              <w:rPr>
                <w:rFonts w:hint="eastAsia" w:ascii="微软雅黑" w:hAnsi="微软雅黑" w:eastAsia="微软雅黑" w:cs="微软雅黑"/>
                <w:color w:val="000000"/>
                <w:kern w:val="0"/>
                <w:sz w:val="18"/>
                <w:szCs w:val="18"/>
              </w:rPr>
              <w:t>的剩余电流动作保护器、隔离变压器等保护措施。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使用</w:t>
            </w:r>
            <w:r>
              <w:rPr>
                <w:rFonts w:hint="eastAsia" w:ascii="微软雅黑" w:hAnsi="微软雅黑" w:eastAsia="微软雅黑" w:cs="微软雅黑"/>
                <w:color w:val="000000"/>
                <w:kern w:val="0"/>
                <w:sz w:val="18"/>
                <w:szCs w:val="18"/>
              </w:rPr>
              <w:t>I</w:t>
            </w:r>
            <w:r>
              <w:rPr>
                <w:rFonts w:hint="eastAsia" w:ascii="微软雅黑" w:hAnsi="微软雅黑" w:eastAsia="微软雅黑" w:cs="微软雅黑"/>
                <w:color w:val="000000"/>
                <w:kern w:val="0"/>
                <w:sz w:val="18"/>
                <w:szCs w:val="18"/>
              </w:rPr>
              <w:t>类设备应配用绝缘手套、绝缘鞋、绝缘垫等安全用具。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设备的电源开关不得失灵、不得破损并应安装牢固，接线不得松动，转动部分应灵活。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绝缘电阻合格，带电部分与可触及导体之间的绝缘电阻</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类设备不低于</w:t>
            </w:r>
            <w:r>
              <w:rPr>
                <w:rFonts w:hint="eastAsia" w:ascii="微软雅黑" w:hAnsi="微软雅黑" w:eastAsia="微软雅黑" w:cs="微软雅黑"/>
                <w:color w:val="000000"/>
                <w:kern w:val="0"/>
                <w:sz w:val="18"/>
                <w:szCs w:val="18"/>
              </w:rPr>
              <w:t>2M</w:t>
            </w:r>
            <w:r>
              <w:rPr>
                <w:rFonts w:hint="eastAsia" w:ascii="微软雅黑" w:hAnsi="微软雅黑" w:eastAsia="微软雅黑" w:cs="微软雅黑"/>
                <w:color w:val="000000"/>
                <w:kern w:val="0"/>
                <w:sz w:val="18"/>
                <w:szCs w:val="18"/>
              </w:rPr>
              <w:t>Ω，Ⅱ类设备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不低于</w:t>
            </w:r>
            <w:r>
              <w:rPr>
                <w:rFonts w:hint="eastAsia" w:ascii="微软雅黑" w:hAnsi="微软雅黑" w:eastAsia="微软雅黑" w:cs="微软雅黑"/>
                <w:color w:val="000000"/>
                <w:kern w:val="0"/>
                <w:sz w:val="18"/>
                <w:szCs w:val="18"/>
              </w:rPr>
              <w:t>7M</w:t>
            </w:r>
            <w:r>
              <w:rPr>
                <w:rFonts w:hint="eastAsia" w:ascii="微软雅黑" w:hAnsi="微软雅黑" w:eastAsia="微软雅黑" w:cs="微软雅黑"/>
                <w:color w:val="000000"/>
                <w:kern w:val="0"/>
                <w:sz w:val="18"/>
                <w:szCs w:val="18"/>
              </w:rPr>
              <w:t>Ω</w:t>
            </w:r>
          </w:p>
        </w:tc>
      </w:tr>
    </w:tbl>
    <w:p>
      <w:pPr>
        <w:autoSpaceDE w:val="0"/>
        <w:autoSpaceDN w:val="0"/>
        <w:adjustRightInd w:val="0"/>
        <w:jc w:val="left"/>
        <w:rPr>
          <w:rFonts w:hint="eastAsia" w:ascii="微软雅黑" w:hAnsi="微软雅黑" w:eastAsia="微软雅黑" w:cs="微软雅黑"/>
          <w:color w:val="000000"/>
          <w:kern w:val="0"/>
          <w:sz w:val="18"/>
          <w:szCs w:val="18"/>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A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D7551"/>
    <w:rsid w:val="000774B7"/>
    <w:rsid w:val="000D7551"/>
    <w:rsid w:val="001F2A2E"/>
    <w:rsid w:val="0025773F"/>
    <w:rsid w:val="0039061B"/>
    <w:rsid w:val="004A63AB"/>
    <w:rsid w:val="00654520"/>
    <w:rsid w:val="006E6FE8"/>
    <w:rsid w:val="009766E4"/>
    <w:rsid w:val="00CD1CFC"/>
    <w:rsid w:val="00CF5C1C"/>
    <w:rsid w:val="00D77EE8"/>
    <w:rsid w:val="03EA584E"/>
    <w:rsid w:val="1BE543D4"/>
    <w:rsid w:val="6AD360B7"/>
    <w:rsid w:val="719560A6"/>
    <w:rsid w:val="78C37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qFormat/>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5"/>
    <w:unhideWhenUsed/>
    <w:qFormat/>
    <w:uiPriority w:val="99"/>
    <w:rPr>
      <w:sz w:val="18"/>
      <w:szCs w:val="18"/>
    </w:rPr>
  </w:style>
  <w:style w:type="character" w:customStyle="1" w:styleId="5">
    <w:name w:val="批注框文本 Char"/>
    <w:basedOn w:val="3"/>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26</Pages>
  <Words>2755</Words>
  <Characters>15705</Characters>
  <Lines>130</Lines>
  <Paragraphs>36</Paragraphs>
  <TotalTime>0</TotalTime>
  <ScaleCrop>false</ScaleCrop>
  <LinksUpToDate>false</LinksUpToDate>
  <CharactersWithSpaces>18424</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2017-06-20T00:36:00Z</dcterms:created>
  <dc:creator>个人用户</dc:creator>
  <cp:lastModifiedBy>hp</cp:lastModifiedBy>
  <dcterms:modified xsi:type="dcterms:W3CDTF">2017-08-26T11:37:55Z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